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horzAnchor="margin" w:tblpXSpec="center" w:tblpY="218"/>
        <w:tblW w:w="134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7"/>
        <w:gridCol w:w="392"/>
        <w:gridCol w:w="2869"/>
        <w:gridCol w:w="533"/>
        <w:gridCol w:w="1985"/>
        <w:gridCol w:w="283"/>
        <w:gridCol w:w="3544"/>
      </w:tblGrid>
      <w:tr w14:paraId="6F5B0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3433" w:type="dxa"/>
            <w:gridSpan w:val="7"/>
            <w:shd w:val="clear" w:color="auto" w:fill="auto"/>
            <w:noWrap/>
            <w:vAlign w:val="center"/>
          </w:tcPr>
          <w:p w14:paraId="53D6A6C9">
            <w:pPr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30"/>
                <w:szCs w:val="30"/>
              </w:rPr>
            </w:pPr>
            <w:bookmarkStart w:id="0" w:name="OLE_LINK1"/>
            <w:bookmarkStart w:id="1" w:name="OLE_LINK2"/>
            <w:r>
              <w:rPr>
                <w:rFonts w:hint="eastAsia"/>
                <w:b/>
                <w:bCs/>
                <w:sz w:val="44"/>
                <w:szCs w:val="44"/>
                <w:lang w:eastAsia="zh-CN"/>
              </w:rPr>
              <w:t>竞价公告</w:t>
            </w:r>
          </w:p>
        </w:tc>
      </w:tr>
      <w:tr w14:paraId="2A032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0456AB91">
            <w:pPr>
              <w:widowControl/>
              <w:spacing w:line="400" w:lineRule="exact"/>
              <w:jc w:val="center"/>
              <w:rPr>
                <w:rFonts w:hint="eastAsia" w:cs="Tahoma" w:asciiTheme="majorEastAsia" w:hAnsiTheme="majorEastAsia" w:eastAsiaTheme="majorEastAsia"/>
                <w:b/>
                <w:bCs/>
                <w:color w:val="3D4B64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cs="Tahoma" w:asciiTheme="majorEastAsia" w:hAnsiTheme="majorEastAsia" w:eastAsiaTheme="majorEastAsia"/>
                <w:b/>
                <w:bCs/>
                <w:color w:val="3D4B64"/>
                <w:kern w:val="0"/>
                <w:sz w:val="30"/>
                <w:szCs w:val="30"/>
              </w:rPr>
              <w:t>一、标的信息</w:t>
            </w:r>
          </w:p>
        </w:tc>
        <w:tc>
          <w:tcPr>
            <w:tcW w:w="9214" w:type="dxa"/>
            <w:gridSpan w:val="5"/>
            <w:shd w:val="clear" w:color="auto" w:fill="auto"/>
            <w:vAlign w:val="center"/>
          </w:tcPr>
          <w:p w14:paraId="04F3B37B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b/>
                <w:bCs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b/>
                <w:bCs/>
                <w:color w:val="3D4B64"/>
                <w:kern w:val="0"/>
                <w:sz w:val="30"/>
                <w:szCs w:val="30"/>
              </w:rPr>
              <w:t>南山湖游客用景观车服务项目</w:t>
            </w:r>
          </w:p>
        </w:tc>
      </w:tr>
      <w:tr w14:paraId="1F93B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43AD99CC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名称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76401E6">
            <w:pPr>
              <w:widowControl/>
              <w:spacing w:line="400" w:lineRule="exact"/>
              <w:jc w:val="center"/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竞价标的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31532367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起始价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(元/年)</w:t>
            </w:r>
          </w:p>
        </w:tc>
      </w:tr>
      <w:tr w14:paraId="73635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02E88D7F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南山湖游客用景观车服务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A790FB4">
            <w:pPr>
              <w:widowControl/>
              <w:spacing w:line="400" w:lineRule="exact"/>
              <w:jc w:val="center"/>
              <w:rPr>
                <w:rFonts w:hint="default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客用景观车服务</w:t>
            </w:r>
            <w:bookmarkStart w:id="2" w:name="_GoBack"/>
            <w:bookmarkEnd w:id="2"/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17B8B42B">
            <w:pPr>
              <w:widowControl/>
              <w:spacing w:line="400" w:lineRule="exact"/>
              <w:jc w:val="center"/>
              <w:rPr>
                <w:rFonts w:hint="default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29000</w:t>
            </w:r>
          </w:p>
        </w:tc>
      </w:tr>
      <w:tr w14:paraId="37A5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512C609E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竞价公示</w:t>
            </w: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开始日期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481652E">
            <w:pPr>
              <w:widowControl/>
              <w:spacing w:line="400" w:lineRule="exact"/>
              <w:ind w:right="440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202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年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11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月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13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日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F8953E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截止日期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80967B2">
            <w:pPr>
              <w:widowControl/>
              <w:spacing w:line="400" w:lineRule="exact"/>
              <w:ind w:right="440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202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年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11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月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18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日</w:t>
            </w:r>
          </w:p>
        </w:tc>
      </w:tr>
      <w:tr w14:paraId="6CD5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2798B4C1">
            <w:pPr>
              <w:widowControl/>
              <w:spacing w:line="400" w:lineRule="exact"/>
              <w:jc w:val="center"/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评标时间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72E84A97">
            <w:pPr>
              <w:widowControl/>
              <w:spacing w:line="400" w:lineRule="exact"/>
              <w:ind w:right="440"/>
              <w:jc w:val="center"/>
              <w:rPr>
                <w:rFonts w:hint="default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2024年11月18日9:00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1949EFA5">
            <w:pPr>
              <w:widowControl/>
              <w:spacing w:line="400" w:lineRule="exact"/>
              <w:ind w:right="440"/>
              <w:jc w:val="center"/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意向人需持相关资料至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南通市通州区金新街道金霞路555号圆宏大厦1号楼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8楼评标室现场竞价。</w:t>
            </w:r>
          </w:p>
        </w:tc>
      </w:tr>
      <w:tr w14:paraId="5E30F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5A11D4DE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合作</w:t>
            </w: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期限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42EC7535">
            <w:pPr>
              <w:widowControl/>
              <w:spacing w:line="400" w:lineRule="exact"/>
              <w:jc w:val="left"/>
              <w:rPr>
                <w:rFonts w:hint="eastAsia" w:cs="Tahoma" w:asciiTheme="majorEastAsia" w:hAnsiTheme="majorEastAsia" w:eastAsiaTheme="majorEastAsia"/>
                <w:color w:val="FF0000"/>
                <w:kern w:val="0"/>
                <w:sz w:val="22"/>
                <w:lang w:eastAsia="zh-CN"/>
              </w:rPr>
            </w:pPr>
            <w:r>
              <w:rPr>
                <w:rFonts w:hint="eastAsia" w:cs="Tahoma" w:asciiTheme="majorEastAsia" w:hAnsiTheme="majorEastAsia" w:eastAsiaTheme="majorEastAsia"/>
                <w:b/>
                <w:color w:val="3D4B64"/>
                <w:kern w:val="0"/>
                <w:sz w:val="22"/>
                <w:lang w:val="en-US" w:eastAsia="zh-CN"/>
              </w:rPr>
              <w:t>3</w:t>
            </w:r>
            <w:r>
              <w:rPr>
                <w:rFonts w:cs="Tahoma" w:asciiTheme="majorEastAsia" w:hAnsiTheme="majorEastAsia" w:eastAsiaTheme="majorEastAsia"/>
                <w:b/>
                <w:color w:val="3D4B64"/>
                <w:kern w:val="0"/>
                <w:sz w:val="22"/>
              </w:rPr>
              <w:t>年</w:t>
            </w:r>
            <w:r>
              <w:rPr>
                <w:rFonts w:hint="eastAsia" w:cs="Tahoma" w:asciiTheme="majorEastAsia" w:hAnsiTheme="majorEastAsia" w:eastAsiaTheme="majorEastAsia"/>
                <w:kern w:val="0"/>
                <w:sz w:val="22"/>
              </w:rPr>
              <w:t>（注：合同期满后，</w:t>
            </w:r>
            <w:r>
              <w:rPr>
                <w:rFonts w:hint="eastAsia" w:cs="Tahoma" w:asciiTheme="majorEastAsia" w:hAnsiTheme="majorEastAsia" w:eastAsiaTheme="majorEastAsia"/>
                <w:kern w:val="0"/>
                <w:sz w:val="22"/>
                <w:lang w:eastAsia="zh-CN"/>
              </w:rPr>
              <w:t>市场变动不大无特殊情况以往期最高竞拍价为基准</w:t>
            </w:r>
            <w:r>
              <w:rPr>
                <w:rFonts w:hint="eastAsia" w:cs="Tahoma" w:asciiTheme="majorEastAsia" w:hAnsiTheme="majorEastAsia" w:eastAsiaTheme="majorEastAsia"/>
                <w:kern w:val="0"/>
                <w:sz w:val="22"/>
              </w:rPr>
              <w:t>，原</w:t>
            </w:r>
            <w:r>
              <w:rPr>
                <w:rFonts w:hint="eastAsia" w:cs="Tahoma" w:asciiTheme="majorEastAsia" w:hAnsiTheme="majorEastAsia" w:eastAsiaTheme="majorEastAsia"/>
                <w:kern w:val="0"/>
                <w:sz w:val="22"/>
                <w:lang w:eastAsia="zh-CN"/>
              </w:rPr>
              <w:t>合作方</w:t>
            </w:r>
            <w:r>
              <w:rPr>
                <w:rFonts w:hint="eastAsia" w:cs="Tahoma" w:asciiTheme="majorEastAsia" w:hAnsiTheme="majorEastAsia" w:eastAsiaTheme="majorEastAsia"/>
                <w:kern w:val="0"/>
                <w:sz w:val="22"/>
              </w:rPr>
              <w:t>具有优先</w:t>
            </w:r>
            <w:r>
              <w:rPr>
                <w:rFonts w:hint="eastAsia" w:cs="Tahoma" w:asciiTheme="majorEastAsia" w:hAnsiTheme="majorEastAsia" w:eastAsiaTheme="majorEastAsia"/>
                <w:kern w:val="0"/>
                <w:sz w:val="22"/>
                <w:lang w:eastAsia="zh-CN"/>
              </w:rPr>
              <w:t>合作权）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024D81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试用</w:t>
            </w: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期限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51780FFA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0月</w:t>
            </w:r>
          </w:p>
        </w:tc>
      </w:tr>
      <w:tr w14:paraId="6655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53B0EFD0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竞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价</w:t>
            </w: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保证金金额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4D818DC6">
            <w:pPr>
              <w:widowControl/>
              <w:spacing w:line="400" w:lineRule="exact"/>
              <w:jc w:val="left"/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人民币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1000</w:t>
            </w: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元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（免收，提供承诺书）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7F09AF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费用</w:t>
            </w: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支付方式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2E26EE8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b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b/>
                <w:color w:val="3D4B64"/>
                <w:kern w:val="0"/>
                <w:sz w:val="22"/>
                <w:lang w:eastAsia="zh-CN"/>
              </w:rPr>
              <w:t>成交方</w:t>
            </w:r>
            <w:r>
              <w:rPr>
                <w:rFonts w:hint="eastAsia" w:cs="Tahoma" w:asciiTheme="majorEastAsia" w:hAnsiTheme="majorEastAsia" w:eastAsiaTheme="majorEastAsia"/>
                <w:b/>
                <w:color w:val="3D4B64"/>
                <w:kern w:val="0"/>
                <w:sz w:val="22"/>
              </w:rPr>
              <w:t>在签订合同后 30 个工作日内向</w:t>
            </w:r>
            <w:r>
              <w:rPr>
                <w:rFonts w:hint="eastAsia" w:cs="Tahoma" w:asciiTheme="majorEastAsia" w:hAnsiTheme="majorEastAsia" w:eastAsiaTheme="majorEastAsia"/>
                <w:b/>
                <w:color w:val="3D4B64"/>
                <w:kern w:val="0"/>
                <w:sz w:val="22"/>
                <w:lang w:eastAsia="zh-CN"/>
              </w:rPr>
              <w:t>需方</w:t>
            </w:r>
            <w:r>
              <w:rPr>
                <w:rFonts w:hint="eastAsia" w:cs="Tahoma" w:asciiTheme="majorEastAsia" w:hAnsiTheme="majorEastAsia" w:eastAsiaTheme="majorEastAsia"/>
                <w:b/>
                <w:color w:val="3D4B64"/>
                <w:kern w:val="0"/>
                <w:sz w:val="22"/>
              </w:rPr>
              <w:t>支付当年的全部合同费用，后续缴费时间以此类推(如遇法定假期自动顺延)。</w:t>
            </w:r>
            <w:r>
              <w:rPr>
                <w:rFonts w:hint="eastAsia" w:cs="Tahoma" w:asciiTheme="majorEastAsia" w:hAnsiTheme="majorEastAsia" w:eastAsiaTheme="majorEastAsia"/>
                <w:b/>
                <w:color w:val="3D4B64"/>
                <w:kern w:val="0"/>
                <w:sz w:val="22"/>
                <w:lang w:eastAsia="zh-CN"/>
              </w:rPr>
              <w:t>需</w:t>
            </w:r>
            <w:r>
              <w:rPr>
                <w:rFonts w:hint="eastAsia" w:cs="Tahoma" w:asciiTheme="majorEastAsia" w:hAnsiTheme="majorEastAsia" w:eastAsiaTheme="majorEastAsia"/>
                <w:b/>
                <w:color w:val="3D4B64"/>
                <w:kern w:val="0"/>
                <w:sz w:val="22"/>
              </w:rPr>
              <w:t>方按要求向</w:t>
            </w:r>
            <w:r>
              <w:rPr>
                <w:rFonts w:hint="eastAsia" w:cs="Tahoma" w:asciiTheme="majorEastAsia" w:hAnsiTheme="majorEastAsia" w:eastAsiaTheme="majorEastAsia"/>
                <w:b/>
                <w:color w:val="3D4B64"/>
                <w:kern w:val="0"/>
                <w:sz w:val="22"/>
                <w:lang w:eastAsia="zh-CN"/>
              </w:rPr>
              <w:t>成交</w:t>
            </w:r>
            <w:r>
              <w:rPr>
                <w:rFonts w:hint="eastAsia" w:cs="Tahoma" w:asciiTheme="majorEastAsia" w:hAnsiTheme="majorEastAsia" w:eastAsiaTheme="majorEastAsia"/>
                <w:b/>
                <w:color w:val="3D4B64"/>
                <w:kern w:val="0"/>
                <w:sz w:val="22"/>
              </w:rPr>
              <w:t>方开具增值税专用发票。</w:t>
            </w:r>
          </w:p>
        </w:tc>
      </w:tr>
      <w:tr w14:paraId="23B5F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567A314B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标的</w:t>
            </w: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用途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1D3B4445">
            <w:pPr>
              <w:widowControl/>
              <w:spacing w:line="400" w:lineRule="exact"/>
              <w:jc w:val="left"/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提供客用景观车服务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70EE2D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配套设施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044910E0">
            <w:pPr>
              <w:widowControl/>
              <w:spacing w:line="400" w:lineRule="exact"/>
              <w:jc w:val="left"/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场地</w:t>
            </w:r>
          </w:p>
        </w:tc>
      </w:tr>
      <w:tr w14:paraId="6BA92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78C737F4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加价幅度（竞价步长）</w:t>
            </w:r>
          </w:p>
        </w:tc>
        <w:tc>
          <w:tcPr>
            <w:tcW w:w="9214" w:type="dxa"/>
            <w:gridSpan w:val="5"/>
            <w:shd w:val="clear" w:color="auto" w:fill="auto"/>
            <w:vAlign w:val="center"/>
          </w:tcPr>
          <w:p w14:paraId="159A24E5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00元</w:t>
            </w:r>
          </w:p>
        </w:tc>
      </w:tr>
      <w:tr w14:paraId="29DFA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13DDC2CA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标的目前使用情况</w:t>
            </w:r>
          </w:p>
        </w:tc>
        <w:tc>
          <w:tcPr>
            <w:tcW w:w="9214" w:type="dxa"/>
            <w:gridSpan w:val="5"/>
            <w:shd w:val="clear" w:color="auto" w:fill="auto"/>
            <w:vAlign w:val="center"/>
          </w:tcPr>
          <w:p w14:paraId="337263F1">
            <w:pPr>
              <w:widowControl/>
              <w:spacing w:line="400" w:lineRule="exact"/>
              <w:jc w:val="left"/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无使用</w:t>
            </w:r>
          </w:p>
        </w:tc>
      </w:tr>
      <w:tr w14:paraId="49244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6D3AD5DA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起始价说明</w:t>
            </w:r>
          </w:p>
        </w:tc>
        <w:tc>
          <w:tcPr>
            <w:tcW w:w="9214" w:type="dxa"/>
            <w:gridSpan w:val="5"/>
            <w:shd w:val="clear" w:color="auto" w:fill="auto"/>
            <w:vAlign w:val="center"/>
          </w:tcPr>
          <w:p w14:paraId="3FFB5D43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凡报价必须大于、等于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竞价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起始价，报价最高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者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成交</w:t>
            </w:r>
          </w:p>
        </w:tc>
      </w:tr>
      <w:tr w14:paraId="45244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33" w:type="dxa"/>
            <w:gridSpan w:val="7"/>
            <w:shd w:val="clear" w:color="auto" w:fill="auto"/>
            <w:noWrap/>
            <w:vAlign w:val="center"/>
          </w:tcPr>
          <w:p w14:paraId="4DBABE62">
            <w:pPr>
              <w:widowControl/>
              <w:spacing w:line="400" w:lineRule="exact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b/>
                <w:bCs/>
                <w:color w:val="3D4B64"/>
                <w:kern w:val="0"/>
                <w:sz w:val="30"/>
                <w:szCs w:val="30"/>
              </w:rPr>
              <w:t>二、</w:t>
            </w:r>
            <w:r>
              <w:rPr>
                <w:rFonts w:hint="eastAsia" w:cs="Tahoma" w:asciiTheme="majorEastAsia" w:hAnsiTheme="majorEastAsia" w:eastAsiaTheme="majorEastAsia"/>
                <w:b/>
                <w:bCs/>
                <w:color w:val="3D4B64"/>
                <w:kern w:val="0"/>
                <w:sz w:val="30"/>
                <w:szCs w:val="30"/>
                <w:lang w:eastAsia="zh-CN"/>
              </w:rPr>
              <w:t>需方</w:t>
            </w:r>
            <w:r>
              <w:rPr>
                <w:rFonts w:cs="Tahoma" w:asciiTheme="majorEastAsia" w:hAnsiTheme="majorEastAsia" w:eastAsiaTheme="majorEastAsia"/>
                <w:b/>
                <w:bCs/>
                <w:color w:val="3D4B64"/>
                <w:kern w:val="0"/>
                <w:sz w:val="30"/>
                <w:szCs w:val="30"/>
              </w:rPr>
              <w:t>信息</w:t>
            </w:r>
          </w:p>
        </w:tc>
      </w:tr>
      <w:tr w14:paraId="72330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3827" w:type="dxa"/>
            <w:shd w:val="clear" w:color="auto" w:fill="auto"/>
            <w:vAlign w:val="center"/>
          </w:tcPr>
          <w:p w14:paraId="1BF35C0F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需</w:t>
            </w: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方名称</w:t>
            </w:r>
          </w:p>
        </w:tc>
        <w:tc>
          <w:tcPr>
            <w:tcW w:w="9606" w:type="dxa"/>
            <w:gridSpan w:val="6"/>
            <w:shd w:val="clear" w:color="auto" w:fill="auto"/>
            <w:vAlign w:val="center"/>
          </w:tcPr>
          <w:p w14:paraId="4FEA8B04">
            <w:pPr>
              <w:widowControl/>
              <w:spacing w:line="400" w:lineRule="exact"/>
              <w:jc w:val="left"/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南通中宏环境发展有限公司（社会信用统一代码：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91320612MA1WC9235Q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）</w:t>
            </w:r>
          </w:p>
        </w:tc>
      </w:tr>
      <w:tr w14:paraId="6487E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27" w:type="dxa"/>
            <w:shd w:val="clear" w:color="auto" w:fill="auto"/>
            <w:vAlign w:val="center"/>
          </w:tcPr>
          <w:p w14:paraId="717207F3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需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方地址</w:t>
            </w:r>
          </w:p>
        </w:tc>
        <w:tc>
          <w:tcPr>
            <w:tcW w:w="9606" w:type="dxa"/>
            <w:gridSpan w:val="6"/>
            <w:shd w:val="clear" w:color="auto" w:fill="auto"/>
            <w:vAlign w:val="center"/>
          </w:tcPr>
          <w:p w14:paraId="5D899422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南通市通州区金新街道金霞路555号圆宏大厦1号楼801</w:t>
            </w:r>
          </w:p>
        </w:tc>
      </w:tr>
      <w:tr w14:paraId="575F5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27" w:type="dxa"/>
            <w:shd w:val="clear" w:color="auto" w:fill="auto"/>
            <w:vAlign w:val="center"/>
          </w:tcPr>
          <w:p w14:paraId="296F0567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需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方经济类型</w:t>
            </w:r>
          </w:p>
        </w:tc>
        <w:tc>
          <w:tcPr>
            <w:tcW w:w="9606" w:type="dxa"/>
            <w:gridSpan w:val="6"/>
            <w:shd w:val="clear" w:color="auto" w:fill="auto"/>
            <w:vAlign w:val="center"/>
          </w:tcPr>
          <w:p w14:paraId="0D18056C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国有独资公司</w:t>
            </w:r>
          </w:p>
        </w:tc>
      </w:tr>
      <w:tr w14:paraId="0B350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27" w:type="dxa"/>
            <w:shd w:val="clear" w:color="auto" w:fill="auto"/>
            <w:vAlign w:val="center"/>
          </w:tcPr>
          <w:p w14:paraId="0D62C3EA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需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方公司类型</w:t>
            </w:r>
          </w:p>
        </w:tc>
        <w:tc>
          <w:tcPr>
            <w:tcW w:w="9606" w:type="dxa"/>
            <w:gridSpan w:val="6"/>
            <w:shd w:val="clear" w:color="auto" w:fill="auto"/>
            <w:vAlign w:val="center"/>
          </w:tcPr>
          <w:p w14:paraId="030C1448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有限责任公司</w:t>
            </w:r>
          </w:p>
        </w:tc>
      </w:tr>
      <w:tr w14:paraId="097B9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27" w:type="dxa"/>
            <w:shd w:val="clear" w:color="auto" w:fill="auto"/>
            <w:vAlign w:val="center"/>
          </w:tcPr>
          <w:p w14:paraId="1BA4E859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需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方持有产权的比例</w:t>
            </w:r>
          </w:p>
        </w:tc>
        <w:tc>
          <w:tcPr>
            <w:tcW w:w="9606" w:type="dxa"/>
            <w:gridSpan w:val="6"/>
            <w:shd w:val="clear" w:color="auto" w:fill="auto"/>
            <w:vAlign w:val="center"/>
          </w:tcPr>
          <w:p w14:paraId="00AF24BA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100%</w:t>
            </w:r>
          </w:p>
        </w:tc>
      </w:tr>
      <w:tr w14:paraId="5480A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27" w:type="dxa"/>
            <w:shd w:val="clear" w:color="auto" w:fill="auto"/>
            <w:vAlign w:val="center"/>
          </w:tcPr>
          <w:p w14:paraId="7225767E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需</w:t>
            </w: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方联系人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3D68BC16">
            <w:pPr>
              <w:widowControl/>
              <w:spacing w:line="400" w:lineRule="exact"/>
              <w:jc w:val="left"/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陈磊</w:t>
            </w:r>
          </w:p>
        </w:tc>
        <w:tc>
          <w:tcPr>
            <w:tcW w:w="2801" w:type="dxa"/>
            <w:gridSpan w:val="3"/>
            <w:shd w:val="clear" w:color="auto" w:fill="auto"/>
            <w:vAlign w:val="center"/>
          </w:tcPr>
          <w:p w14:paraId="6527958A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  <w:highlight w:val="yellow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联系电话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F8816BC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0513-86129069</w:t>
            </w:r>
          </w:p>
        </w:tc>
      </w:tr>
      <w:tr w14:paraId="4EC24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33" w:type="dxa"/>
            <w:gridSpan w:val="7"/>
            <w:shd w:val="clear" w:color="auto" w:fill="auto"/>
            <w:noWrap/>
            <w:vAlign w:val="center"/>
          </w:tcPr>
          <w:p w14:paraId="6FA119EC">
            <w:pPr>
              <w:widowControl/>
              <w:spacing w:line="400" w:lineRule="exact"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cs="Tahoma" w:asciiTheme="majorEastAsia" w:hAnsiTheme="majorEastAsia" w:eastAsiaTheme="majorEastAsia"/>
                <w:b/>
                <w:bCs/>
                <w:color w:val="3D4B64"/>
                <w:kern w:val="0"/>
                <w:sz w:val="30"/>
                <w:szCs w:val="30"/>
              </w:rPr>
              <w:t>三、</w:t>
            </w:r>
            <w:r>
              <w:rPr>
                <w:rFonts w:hint="eastAsia" w:cs="Tahoma" w:asciiTheme="majorEastAsia" w:hAnsiTheme="majorEastAsia" w:eastAsiaTheme="majorEastAsia"/>
                <w:b/>
                <w:bCs/>
                <w:color w:val="3D4B64"/>
                <w:kern w:val="0"/>
                <w:sz w:val="30"/>
                <w:szCs w:val="30"/>
                <w:lang w:eastAsia="zh-CN"/>
              </w:rPr>
              <w:t>其他</w:t>
            </w:r>
          </w:p>
        </w:tc>
      </w:tr>
      <w:tr w14:paraId="1CC99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3827" w:type="dxa"/>
            <w:shd w:val="clear" w:color="auto" w:fill="auto"/>
            <w:vAlign w:val="center"/>
          </w:tcPr>
          <w:p w14:paraId="38470FEE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特别事项说明</w:t>
            </w:r>
          </w:p>
        </w:tc>
        <w:tc>
          <w:tcPr>
            <w:tcW w:w="9606" w:type="dxa"/>
            <w:gridSpan w:val="6"/>
            <w:shd w:val="clear" w:color="auto" w:fill="auto"/>
          </w:tcPr>
          <w:p w14:paraId="66CDFC02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竞价人（供应商）应有提供客用景观车的经营范围和相关资质，并符合相关行政部门的管理要求。</w:t>
            </w:r>
          </w:p>
        </w:tc>
      </w:tr>
      <w:tr w14:paraId="1EBBF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827" w:type="dxa"/>
            <w:shd w:val="clear" w:color="auto" w:fill="auto"/>
            <w:vAlign w:val="center"/>
          </w:tcPr>
          <w:p w14:paraId="222E729F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现场查勘事项</w:t>
            </w:r>
          </w:p>
        </w:tc>
        <w:tc>
          <w:tcPr>
            <w:tcW w:w="9606" w:type="dxa"/>
            <w:gridSpan w:val="6"/>
            <w:shd w:val="clear" w:color="auto" w:fill="auto"/>
            <w:vAlign w:val="center"/>
          </w:tcPr>
          <w:p w14:paraId="7B14FB68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1、报名时间截止前均可自行踏勘标的（仅限于工作时间） 。</w:t>
            </w:r>
          </w:p>
        </w:tc>
      </w:tr>
      <w:tr w14:paraId="5E4D2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827" w:type="dxa"/>
            <w:vMerge w:val="restart"/>
            <w:shd w:val="clear" w:color="auto" w:fill="auto"/>
            <w:vAlign w:val="center"/>
          </w:tcPr>
          <w:p w14:paraId="2F6F7EEA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意向承租方资格条件</w:t>
            </w:r>
          </w:p>
        </w:tc>
        <w:tc>
          <w:tcPr>
            <w:tcW w:w="9606" w:type="dxa"/>
            <w:gridSpan w:val="6"/>
            <w:shd w:val="clear" w:color="auto" w:fill="auto"/>
            <w:vAlign w:val="center"/>
          </w:tcPr>
          <w:p w14:paraId="52F7C593">
            <w:pPr>
              <w:widowControl/>
              <w:spacing w:line="400" w:lineRule="exact"/>
              <w:jc w:val="left"/>
              <w:rPr>
                <w:rFonts w:hint="eastAsia" w:cs="Tahoma" w:asciiTheme="majorEastAsia" w:hAnsiTheme="majorEastAsia" w:eastAsiaTheme="majorEastAsia"/>
                <w:kern w:val="0"/>
                <w:sz w:val="22"/>
                <w:lang w:eastAsia="zh-CN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1.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意向方（竞价人）</w:t>
            </w: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须为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依法设立并</w:t>
            </w: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有效存续的法人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单位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；</w:t>
            </w:r>
          </w:p>
        </w:tc>
      </w:tr>
      <w:tr w14:paraId="6FD0F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827" w:type="dxa"/>
            <w:vMerge w:val="continue"/>
            <w:vAlign w:val="center"/>
          </w:tcPr>
          <w:p w14:paraId="4247A5DF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</w:p>
        </w:tc>
        <w:tc>
          <w:tcPr>
            <w:tcW w:w="9606" w:type="dxa"/>
            <w:gridSpan w:val="6"/>
            <w:shd w:val="clear" w:color="auto" w:fill="auto"/>
            <w:vAlign w:val="center"/>
          </w:tcPr>
          <w:p w14:paraId="4C352834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2.具有良好的财务状况、商业信用、经济实力和支付能力；</w:t>
            </w:r>
          </w:p>
        </w:tc>
      </w:tr>
      <w:tr w14:paraId="15DD4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827" w:type="dxa"/>
            <w:vMerge w:val="continue"/>
            <w:vAlign w:val="center"/>
          </w:tcPr>
          <w:p w14:paraId="336AF97E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</w:p>
        </w:tc>
        <w:tc>
          <w:tcPr>
            <w:tcW w:w="9606" w:type="dxa"/>
            <w:gridSpan w:val="6"/>
            <w:shd w:val="clear" w:color="auto" w:fill="auto"/>
            <w:vAlign w:val="center"/>
          </w:tcPr>
          <w:p w14:paraId="7A2BD63A">
            <w:pPr>
              <w:widowControl/>
              <w:spacing w:line="400" w:lineRule="exact"/>
              <w:jc w:val="left"/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3</w:t>
            </w: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.国家法律法规规定的其他条件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：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1）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参加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竞价、采购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活动前三年内，在经营活动中没有重大违法记录；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2）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法律、行政法规规定的其他条件且符合、承认并承诺履行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竞价竞价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文件各项规定；</w:t>
            </w:r>
          </w:p>
          <w:p w14:paraId="232D5D9E">
            <w:pPr>
              <w:widowControl/>
              <w:spacing w:line="400" w:lineRule="exact"/>
              <w:jc w:val="left"/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3）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未被“信用中国”网站(www.creditchina.gov.cn)、中华人民共和国最高人民法院网站（http://www.court.gov.cn）等渠道列入信用记录失信被执行人，未被中国政府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竞价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网(www.ccgp.gov.cn)等渠道列入政府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竞价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严重违法失信行为记录名单，未被中华人民共和国应急管理部网站（http://www.chinasafety.gov.cn）等渠道列入安全生产失信联合惩戒“黑名单”，未被国家税务总局网站（http://hd.chinatax.gov.cn/xxk）等渠道列入重大税收违法案件当事人名单，未被国家企业信用信息公示系统（http://www.gsxt.gov.cn）等渠道列入经营异常名录、严重违法失信企业名单，未被全国公共资源交易平台（http://www.ggzy.gov.cn）等渠道列入黑名单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。</w:t>
            </w:r>
          </w:p>
          <w:p w14:paraId="71F6775F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</w:p>
        </w:tc>
      </w:tr>
      <w:tr w14:paraId="713D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3827" w:type="dxa"/>
            <w:shd w:val="clear" w:color="auto" w:fill="auto"/>
            <w:vAlign w:val="center"/>
          </w:tcPr>
          <w:p w14:paraId="0CB73AF9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意向投资承租方需要提供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响应</w:t>
            </w: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材料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（资格审查）</w:t>
            </w:r>
          </w:p>
        </w:tc>
        <w:tc>
          <w:tcPr>
            <w:tcW w:w="9606" w:type="dxa"/>
            <w:gridSpan w:val="6"/>
            <w:shd w:val="clear" w:color="auto" w:fill="auto"/>
            <w:vAlign w:val="center"/>
          </w:tcPr>
          <w:p w14:paraId="0976A985">
            <w:pPr>
              <w:widowControl/>
              <w:spacing w:line="400" w:lineRule="exact"/>
              <w:jc w:val="left"/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详见竞价文件（详见附件）</w:t>
            </w:r>
          </w:p>
        </w:tc>
      </w:tr>
      <w:tr w14:paraId="1BE44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27" w:type="dxa"/>
            <w:shd w:val="clear" w:color="auto" w:fill="auto"/>
            <w:vAlign w:val="center"/>
          </w:tcPr>
          <w:p w14:paraId="1D63925B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交易程序</w:t>
            </w:r>
          </w:p>
        </w:tc>
        <w:tc>
          <w:tcPr>
            <w:tcW w:w="9606" w:type="dxa"/>
            <w:gridSpan w:val="6"/>
            <w:shd w:val="clear" w:color="auto" w:fill="auto"/>
            <w:vAlign w:val="center"/>
          </w:tcPr>
          <w:p w14:paraId="627C0152">
            <w:pPr>
              <w:widowControl/>
              <w:spacing w:line="400" w:lineRule="exact"/>
              <w:jc w:val="left"/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详见竞价文件（详见附件）</w:t>
            </w:r>
          </w:p>
        </w:tc>
      </w:tr>
      <w:tr w14:paraId="28A25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827" w:type="dxa"/>
            <w:shd w:val="clear" w:color="auto" w:fill="auto"/>
            <w:vAlign w:val="center"/>
          </w:tcPr>
          <w:p w14:paraId="22C757DB">
            <w:pPr>
              <w:widowControl/>
              <w:spacing w:line="400" w:lineRule="exact"/>
              <w:jc w:val="center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  <w:t>特别提示</w:t>
            </w:r>
          </w:p>
        </w:tc>
        <w:tc>
          <w:tcPr>
            <w:tcW w:w="9606" w:type="dxa"/>
            <w:gridSpan w:val="6"/>
            <w:shd w:val="clear" w:color="auto" w:fill="auto"/>
            <w:vAlign w:val="center"/>
          </w:tcPr>
          <w:p w14:paraId="42AD7617">
            <w:pPr>
              <w:widowControl/>
              <w:spacing w:line="400" w:lineRule="exact"/>
              <w:jc w:val="left"/>
              <w:rPr>
                <w:rFonts w:cs="Tahoma" w:asciiTheme="majorEastAsia" w:hAnsiTheme="majorEastAsia" w:eastAsiaTheme="majorEastAsia"/>
                <w:color w:val="3D4B64"/>
                <w:kern w:val="0"/>
                <w:sz w:val="22"/>
              </w:rPr>
            </w:pP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1、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竞价方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须仔细阅题本公告内容及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需方中宏公司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提供的材料，认真进行风险评估，审慎决策。成交后，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成交商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</w:rPr>
              <w:t>如有拒不签订转让合同等行为，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eastAsia="zh-CN"/>
              </w:rPr>
              <w:t>将被我公司列入黑名单，</w:t>
            </w:r>
            <w:r>
              <w:rPr>
                <w:rFonts w:hint="eastAsia" w:cs="Tahoma" w:asciiTheme="majorEastAsia" w:hAnsiTheme="majorEastAsia" w:eastAsiaTheme="majorEastAsia"/>
                <w:color w:val="3D4B64"/>
                <w:kern w:val="0"/>
                <w:sz w:val="22"/>
                <w:lang w:val="en-US" w:eastAsia="zh-CN"/>
              </w:rPr>
              <w:t>一年内禁入圆宏集团及下属子公司相关竞价、拍租、招标、采购等一系列活动。</w:t>
            </w:r>
          </w:p>
        </w:tc>
      </w:tr>
      <w:bookmarkEnd w:id="0"/>
      <w:bookmarkEnd w:id="1"/>
    </w:tbl>
    <w:p w14:paraId="7D52BBC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M2Q2NjgyNTc3YTYyYzdiMjgzNmQ2NjgyYjZmZmMifQ=="/>
  </w:docVars>
  <w:rsids>
    <w:rsidRoot w:val="11D7330A"/>
    <w:rsid w:val="0A9C51AF"/>
    <w:rsid w:val="0C9A19A3"/>
    <w:rsid w:val="11D7330A"/>
    <w:rsid w:val="134E6A3B"/>
    <w:rsid w:val="294E5290"/>
    <w:rsid w:val="2E5E7260"/>
    <w:rsid w:val="7C65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1075</Words>
  <Characters>1303</Characters>
  <Lines>0</Lines>
  <Paragraphs>0</Paragraphs>
  <TotalTime>2</TotalTime>
  <ScaleCrop>false</ScaleCrop>
  <LinksUpToDate>false</LinksUpToDate>
  <CharactersWithSpaces>1306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2024-11-13T07:47:00Z</dcterms:created>
  <dc:creator>丰宏体育陈磊</dc:creator>
  <cp:lastModifiedBy>丰宏体育陈磊</cp:lastModifiedBy>
  <dcterms:modified xsi:type="dcterms:W3CDTF">2024-11-13T08:38:43Z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1847F36385584943952ABC45F70613F7_13</vt:lpwstr>
  </property>
</Properties>
</file>