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41CF">
      <w:pPr>
        <w:overflowPunct w:val="0"/>
        <w:spacing w:line="360" w:lineRule="auto"/>
        <w:ind w:right="-3526" w:rightChars="-1679"/>
        <w:rPr>
          <w:rFonts w:hint="eastAsia" w:ascii="宋体" w:hAnsi="宋体" w:eastAsia="宋体" w:cs="宋体"/>
          <w:highlight w:val="none"/>
        </w:rPr>
      </w:pPr>
    </w:p>
    <w:p w14:paraId="26101AA8">
      <w:pPr>
        <w:pStyle w:val="87"/>
        <w:spacing w:after="0" w:line="640" w:lineRule="exact"/>
        <w:ind w:left="0" w:leftChars="0" w:firstLine="0" w:firstLineChars="0"/>
        <w:rPr>
          <w:rFonts w:hint="eastAsia" w:ascii="宋体" w:hAnsi="宋体" w:eastAsia="宋体" w:cs="宋体"/>
          <w:highlight w:val="none"/>
        </w:rPr>
      </w:pPr>
    </w:p>
    <w:p w14:paraId="641BB49D">
      <w:pPr>
        <w:tabs>
          <w:tab w:val="left" w:pos="1446"/>
        </w:tabs>
        <w:overflowPunct w:val="0"/>
        <w:snapToGrid w:val="0"/>
        <w:spacing w:line="640" w:lineRule="exact"/>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lang w:eastAsia="zh-CN"/>
        </w:rPr>
        <w:t>体育中心物业劳务分包</w:t>
      </w:r>
      <w:r>
        <w:rPr>
          <w:rFonts w:hint="eastAsia" w:ascii="宋体" w:hAnsi="宋体" w:eastAsia="宋体" w:cs="宋体"/>
          <w:b/>
          <w:bCs/>
          <w:sz w:val="48"/>
          <w:szCs w:val="48"/>
          <w:highlight w:val="none"/>
        </w:rPr>
        <w:t xml:space="preserve">   </w:t>
      </w:r>
    </w:p>
    <w:p w14:paraId="142F1CC1">
      <w:pPr>
        <w:snapToGrid w:val="0"/>
        <w:spacing w:line="360" w:lineRule="auto"/>
        <w:rPr>
          <w:rFonts w:hint="eastAsia" w:ascii="宋体" w:hAnsi="宋体" w:eastAsia="宋体" w:cs="宋体"/>
          <w:b/>
          <w:bCs/>
          <w:sz w:val="30"/>
          <w:szCs w:val="30"/>
          <w:highlight w:val="none"/>
        </w:rPr>
      </w:pPr>
    </w:p>
    <w:p w14:paraId="2FB088DC">
      <w:pPr>
        <w:pStyle w:val="34"/>
        <w:rPr>
          <w:rFonts w:hint="eastAsia" w:ascii="宋体" w:hAnsi="宋体" w:eastAsia="宋体" w:cs="宋体"/>
          <w:highlight w:val="none"/>
        </w:rPr>
      </w:pPr>
    </w:p>
    <w:p w14:paraId="260784F0">
      <w:pPr>
        <w:snapToGrid w:val="0"/>
        <w:spacing w:line="360" w:lineRule="auto"/>
        <w:rPr>
          <w:rFonts w:hint="eastAsia" w:ascii="宋体" w:hAnsi="宋体" w:eastAsia="宋体" w:cs="宋体"/>
          <w:b/>
          <w:bCs/>
          <w:sz w:val="30"/>
          <w:szCs w:val="30"/>
          <w:highlight w:val="none"/>
        </w:rPr>
      </w:pPr>
    </w:p>
    <w:p w14:paraId="275F1896">
      <w:pPr>
        <w:pStyle w:val="34"/>
        <w:rPr>
          <w:rFonts w:hint="eastAsia" w:ascii="宋体" w:hAnsi="宋体" w:eastAsia="宋体" w:cs="宋体"/>
          <w:highlight w:val="none"/>
        </w:rPr>
      </w:pPr>
    </w:p>
    <w:p w14:paraId="3B99BCE0">
      <w:pPr>
        <w:snapToGrid w:val="0"/>
        <w:spacing w:line="360" w:lineRule="auto"/>
        <w:rPr>
          <w:rFonts w:hint="eastAsia" w:ascii="宋体" w:hAnsi="宋体" w:eastAsia="宋体" w:cs="宋体"/>
          <w:b/>
          <w:bCs/>
          <w:sz w:val="30"/>
          <w:szCs w:val="30"/>
          <w:highlight w:val="none"/>
        </w:rPr>
      </w:pPr>
    </w:p>
    <w:p w14:paraId="22313915">
      <w:pPr>
        <w:snapToGrid w:val="0"/>
        <w:spacing w:line="300" w:lineRule="auto"/>
        <w:jc w:val="center"/>
        <w:rPr>
          <w:rFonts w:hint="eastAsia" w:ascii="宋体" w:hAnsi="宋体" w:eastAsia="宋体" w:cs="宋体"/>
          <w:b/>
          <w:bCs/>
          <w:sz w:val="48"/>
          <w:szCs w:val="48"/>
          <w:highlight w:val="none"/>
        </w:rPr>
      </w:pPr>
      <w:r>
        <w:rPr>
          <w:rFonts w:hint="eastAsia" w:ascii="宋体" w:hAnsi="宋体" w:eastAsia="宋体" w:cs="宋体"/>
          <w:b/>
          <w:bCs/>
          <w:sz w:val="96"/>
          <w:szCs w:val="96"/>
          <w:highlight w:val="none"/>
        </w:rPr>
        <w:t>招标文件</w:t>
      </w:r>
    </w:p>
    <w:p w14:paraId="03CB4755">
      <w:pPr>
        <w:spacing w:line="360" w:lineRule="auto"/>
        <w:jc w:val="center"/>
        <w:rPr>
          <w:rFonts w:hint="eastAsia" w:ascii="宋体" w:hAnsi="宋体" w:eastAsia="宋体" w:cs="宋体"/>
          <w:b/>
          <w:bCs/>
          <w:szCs w:val="21"/>
          <w:highlight w:val="none"/>
        </w:rPr>
      </w:pPr>
    </w:p>
    <w:p w14:paraId="6FCB8342">
      <w:pPr>
        <w:widowControl/>
        <w:jc w:val="center"/>
        <w:rPr>
          <w:rFonts w:hint="eastAsia" w:ascii="宋体" w:hAnsi="宋体" w:eastAsia="宋体" w:cs="宋体"/>
          <w:b/>
          <w:bCs/>
          <w:color w:val="FF0000"/>
          <w:sz w:val="32"/>
          <w:szCs w:val="32"/>
          <w:highlight w:val="none"/>
        </w:rPr>
      </w:pPr>
      <w:r>
        <w:rPr>
          <w:rFonts w:hint="eastAsia" w:ascii="宋体" w:hAnsi="宋体" w:eastAsia="宋体" w:cs="宋体"/>
          <w:b/>
          <w:bCs/>
          <w:color w:val="FF0000"/>
          <w:sz w:val="32"/>
          <w:szCs w:val="32"/>
          <w:highlight w:val="none"/>
        </w:rPr>
        <w:t xml:space="preserve">  </w:t>
      </w:r>
    </w:p>
    <w:p w14:paraId="1726A7A4">
      <w:pPr>
        <w:pStyle w:val="70"/>
        <w:ind w:firstLine="0"/>
        <w:rPr>
          <w:rFonts w:hint="eastAsia" w:ascii="宋体" w:hAnsi="宋体" w:eastAsia="宋体" w:cs="宋体"/>
          <w:highlight w:val="none"/>
        </w:rPr>
      </w:pPr>
    </w:p>
    <w:p w14:paraId="59440818">
      <w:pPr>
        <w:pStyle w:val="70"/>
        <w:rPr>
          <w:rFonts w:hint="eastAsia" w:ascii="宋体" w:hAnsi="宋体" w:eastAsia="宋体" w:cs="宋体"/>
          <w:highlight w:val="none"/>
        </w:rPr>
      </w:pPr>
    </w:p>
    <w:p w14:paraId="29925D86">
      <w:pPr>
        <w:pStyle w:val="87"/>
        <w:ind w:left="0" w:leftChars="0" w:firstLine="0" w:firstLineChars="0"/>
        <w:rPr>
          <w:rFonts w:hint="eastAsia" w:ascii="宋体" w:hAnsi="宋体" w:eastAsia="宋体" w:cs="宋体"/>
          <w:highlight w:val="none"/>
        </w:rPr>
      </w:pPr>
    </w:p>
    <w:p w14:paraId="2BBF994B">
      <w:pPr>
        <w:pStyle w:val="70"/>
        <w:rPr>
          <w:rFonts w:hint="eastAsia" w:ascii="宋体" w:hAnsi="宋体" w:eastAsia="宋体" w:cs="宋体"/>
          <w:highlight w:val="none"/>
        </w:rPr>
      </w:pPr>
    </w:p>
    <w:p w14:paraId="69653380">
      <w:pPr>
        <w:pStyle w:val="70"/>
        <w:ind w:firstLine="0"/>
        <w:rPr>
          <w:rFonts w:hint="eastAsia" w:ascii="宋体" w:hAnsi="宋体" w:eastAsia="宋体" w:cs="宋体"/>
          <w:highlight w:val="none"/>
        </w:rPr>
      </w:pPr>
    </w:p>
    <w:p w14:paraId="1D7EBD8A">
      <w:pPr>
        <w:snapToGrid w:val="0"/>
        <w:spacing w:line="360" w:lineRule="auto"/>
        <w:rPr>
          <w:rFonts w:hint="eastAsia" w:ascii="宋体" w:hAnsi="宋体" w:eastAsia="宋体" w:cs="宋体"/>
          <w:b/>
          <w:bCs/>
          <w:color w:val="000000"/>
          <w:sz w:val="36"/>
          <w:szCs w:val="36"/>
          <w:highlight w:val="none"/>
        </w:rPr>
      </w:pPr>
    </w:p>
    <w:p w14:paraId="41688707">
      <w:pPr>
        <w:snapToGrid w:val="0"/>
        <w:spacing w:line="360" w:lineRule="auto"/>
        <w:ind w:firstLine="1506" w:firstLineChars="50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招 标 人：</w:t>
      </w:r>
      <w:r>
        <w:rPr>
          <w:rFonts w:hint="eastAsia" w:ascii="宋体" w:hAnsi="宋体" w:eastAsia="宋体" w:cs="宋体"/>
          <w:b/>
          <w:bCs/>
          <w:color w:val="000000"/>
          <w:sz w:val="30"/>
          <w:szCs w:val="30"/>
          <w:highlight w:val="none"/>
          <w:u w:val="single"/>
        </w:rPr>
        <w:t>南通中宏环境发展有限公司</w:t>
      </w:r>
    </w:p>
    <w:p w14:paraId="5A4C2061">
      <w:pPr>
        <w:adjustRightInd w:val="0"/>
        <w:snapToGrid w:val="0"/>
        <w:spacing w:line="360" w:lineRule="auto"/>
        <w:ind w:firstLine="1506" w:firstLineChars="50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代理机构：</w:t>
      </w:r>
      <w:r>
        <w:rPr>
          <w:rFonts w:hint="eastAsia" w:ascii="宋体" w:hAnsi="宋体" w:eastAsia="宋体" w:cs="宋体"/>
          <w:b/>
          <w:bCs/>
          <w:color w:val="000000"/>
          <w:sz w:val="30"/>
          <w:szCs w:val="30"/>
          <w:highlight w:val="none"/>
          <w:u w:val="single"/>
        </w:rPr>
        <w:t>江苏永诚工程造价事务所有限公司</w:t>
      </w:r>
    </w:p>
    <w:p w14:paraId="0C247CC8">
      <w:pPr>
        <w:adjustRightInd w:val="0"/>
        <w:snapToGrid w:val="0"/>
        <w:spacing w:line="360" w:lineRule="auto"/>
        <w:ind w:firstLine="1506" w:firstLineChars="500"/>
        <w:rPr>
          <w:rFonts w:hint="eastAsia" w:ascii="宋体" w:hAnsi="宋体" w:eastAsia="宋体" w:cs="宋体"/>
          <w:b/>
          <w:bCs/>
          <w:color w:val="000000"/>
          <w:sz w:val="30"/>
          <w:szCs w:val="30"/>
          <w:highlight w:val="none"/>
          <w:lang w:val="en-US" w:eastAsia="zh-CN"/>
        </w:rPr>
      </w:pPr>
      <w:r>
        <w:rPr>
          <w:rFonts w:hint="eastAsia" w:ascii="宋体" w:hAnsi="宋体" w:eastAsia="宋体" w:cs="宋体"/>
          <w:b/>
          <w:bCs/>
          <w:color w:val="000000"/>
          <w:sz w:val="30"/>
          <w:szCs w:val="30"/>
          <w:highlight w:val="none"/>
        </w:rPr>
        <w:t>日    期：</w:t>
      </w:r>
      <w:r>
        <w:rPr>
          <w:rFonts w:hint="eastAsia" w:ascii="宋体" w:hAnsi="宋体" w:eastAsia="宋体" w:cs="宋体"/>
          <w:b/>
          <w:bCs/>
          <w:color w:val="000000"/>
          <w:sz w:val="30"/>
          <w:szCs w:val="30"/>
          <w:highlight w:val="none"/>
          <w:u w:val="single"/>
        </w:rPr>
        <w:t>二〇二</w:t>
      </w:r>
      <w:r>
        <w:rPr>
          <w:rFonts w:hint="eastAsia" w:ascii="宋体" w:hAnsi="宋体" w:eastAsia="宋体" w:cs="宋体"/>
          <w:b/>
          <w:bCs/>
          <w:color w:val="000000"/>
          <w:sz w:val="30"/>
          <w:szCs w:val="30"/>
          <w:highlight w:val="none"/>
          <w:u w:val="single"/>
          <w:lang w:val="en-US" w:eastAsia="zh-CN"/>
        </w:rPr>
        <w:t>六</w:t>
      </w:r>
      <w:r>
        <w:rPr>
          <w:rFonts w:hint="eastAsia" w:ascii="宋体" w:hAnsi="宋体" w:eastAsia="宋体" w:cs="宋体"/>
          <w:b/>
          <w:bCs/>
          <w:color w:val="000000"/>
          <w:sz w:val="30"/>
          <w:szCs w:val="30"/>
          <w:highlight w:val="none"/>
          <w:u w:val="single"/>
        </w:rPr>
        <w:t>年</w:t>
      </w:r>
      <w:r>
        <w:rPr>
          <w:rFonts w:hint="eastAsia" w:ascii="宋体" w:hAnsi="宋体" w:cs="宋体"/>
          <w:b/>
          <w:bCs/>
          <w:color w:val="000000"/>
          <w:sz w:val="30"/>
          <w:szCs w:val="30"/>
          <w:highlight w:val="none"/>
          <w:u w:val="single"/>
          <w:lang w:val="en-US" w:eastAsia="zh-CN"/>
        </w:rPr>
        <w:t>四</w:t>
      </w:r>
      <w:r>
        <w:rPr>
          <w:rFonts w:hint="eastAsia" w:ascii="宋体" w:hAnsi="宋体" w:eastAsia="宋体" w:cs="宋体"/>
          <w:b/>
          <w:bCs/>
          <w:color w:val="000000"/>
          <w:sz w:val="30"/>
          <w:szCs w:val="30"/>
          <w:highlight w:val="none"/>
          <w:u w:val="single"/>
        </w:rPr>
        <w:t>月</w:t>
      </w:r>
      <w:r>
        <w:rPr>
          <w:rFonts w:hint="eastAsia" w:ascii="宋体" w:hAnsi="宋体" w:cs="宋体"/>
          <w:b/>
          <w:bCs/>
          <w:color w:val="000000"/>
          <w:sz w:val="30"/>
          <w:szCs w:val="30"/>
          <w:highlight w:val="none"/>
          <w:u w:val="single"/>
          <w:lang w:val="en-US" w:eastAsia="zh-CN"/>
        </w:rPr>
        <w:t>一日</w:t>
      </w:r>
    </w:p>
    <w:p w14:paraId="2D1FC5A4">
      <w:pPr>
        <w:spacing w:line="360" w:lineRule="auto"/>
        <w:rPr>
          <w:rFonts w:hint="eastAsia" w:ascii="宋体" w:hAnsi="宋体" w:eastAsia="宋体" w:cs="宋体"/>
          <w:b/>
          <w:sz w:val="44"/>
          <w:szCs w:val="44"/>
          <w:highlight w:val="none"/>
        </w:rPr>
      </w:pPr>
      <w:r>
        <w:rPr>
          <w:rFonts w:hint="eastAsia" w:ascii="宋体" w:hAnsi="宋体" w:eastAsia="宋体" w:cs="宋体"/>
          <w:b/>
          <w:bCs/>
          <w:sz w:val="32"/>
          <w:szCs w:val="32"/>
          <w:highlight w:val="none"/>
        </w:rPr>
        <w:br w:type="page"/>
      </w:r>
    </w:p>
    <w:p w14:paraId="45C189EA">
      <w:pPr>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3AB1D744">
      <w:pPr>
        <w:spacing w:line="360" w:lineRule="auto"/>
        <w:rPr>
          <w:rFonts w:hint="eastAsia" w:ascii="宋体" w:hAnsi="宋体" w:eastAsia="宋体" w:cs="宋体"/>
          <w:b/>
          <w:sz w:val="44"/>
          <w:highlight w:val="none"/>
        </w:rPr>
      </w:pPr>
    </w:p>
    <w:p w14:paraId="686C12E8">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"_Toc450137519"</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第一章   招标公告</w:t>
      </w:r>
      <w:r>
        <w:rPr>
          <w:rFonts w:hint="eastAsia" w:ascii="宋体" w:hAnsi="宋体" w:eastAsia="宋体" w:cs="宋体"/>
          <w:highlight w:val="none"/>
        </w:rPr>
        <w:fldChar w:fldCharType="end"/>
      </w:r>
    </w:p>
    <w:p w14:paraId="54FBE4A3">
      <w:pPr>
        <w:ind w:firstLine="420" w:firstLineChars="200"/>
        <w:rPr>
          <w:rFonts w:hint="eastAsia" w:ascii="宋体" w:hAnsi="宋体" w:eastAsia="宋体" w:cs="宋体"/>
          <w:highlight w:val="none"/>
        </w:rPr>
      </w:pPr>
    </w:p>
    <w:p w14:paraId="31BEE69E">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"_Toc450137520"</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第二章   投标须知</w:t>
      </w:r>
      <w:r>
        <w:rPr>
          <w:rFonts w:hint="eastAsia" w:ascii="宋体" w:hAnsi="宋体" w:eastAsia="宋体" w:cs="宋体"/>
          <w:highlight w:val="none"/>
        </w:rPr>
        <w:fldChar w:fldCharType="end"/>
      </w:r>
    </w:p>
    <w:p w14:paraId="699CFCA3">
      <w:pPr>
        <w:ind w:firstLine="420" w:firstLineChars="200"/>
        <w:rPr>
          <w:rFonts w:hint="eastAsia" w:ascii="宋体" w:hAnsi="宋体" w:eastAsia="宋体" w:cs="宋体"/>
          <w:highlight w:val="none"/>
        </w:rPr>
      </w:pPr>
    </w:p>
    <w:p w14:paraId="7583FBCC">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"_Toc450137521"</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第三章   项目需求</w:t>
      </w:r>
      <w:r>
        <w:rPr>
          <w:rFonts w:hint="eastAsia" w:ascii="宋体" w:hAnsi="宋体" w:eastAsia="宋体" w:cs="宋体"/>
          <w:highlight w:val="none"/>
        </w:rPr>
        <w:fldChar w:fldCharType="end"/>
      </w:r>
    </w:p>
    <w:p w14:paraId="5C588EEB">
      <w:pPr>
        <w:ind w:firstLine="420" w:firstLineChars="200"/>
        <w:rPr>
          <w:rFonts w:hint="eastAsia" w:ascii="宋体" w:hAnsi="宋体" w:eastAsia="宋体" w:cs="宋体"/>
          <w:highlight w:val="none"/>
        </w:rPr>
      </w:pPr>
    </w:p>
    <w:p w14:paraId="041FF2CE">
      <w:pPr>
        <w:pStyle w:val="59"/>
        <w:spacing w:line="360" w:lineRule="auto"/>
        <w:ind w:firstLine="440" w:firstLineChars="200"/>
        <w:jc w:val="left"/>
        <w:rPr>
          <w:rStyle w:val="163"/>
          <w:rFonts w:hint="eastAsia" w:ascii="宋体" w:hAnsi="宋体" w:eastAsia="宋体" w:cs="宋体"/>
          <w:b/>
          <w:color w:val="auto"/>
          <w:sz w:val="28"/>
          <w:szCs w:val="28"/>
          <w:highlight w:val="none"/>
          <w:u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"_Toc450137522"</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 xml:space="preserve">第四章   </w:t>
      </w:r>
      <w:r>
        <w:rPr>
          <w:rFonts w:hint="eastAsia" w:ascii="宋体" w:hAnsi="宋体" w:eastAsia="宋体" w:cs="宋体"/>
          <w:highlight w:val="none"/>
        </w:rPr>
        <w:fldChar w:fldCharType="end"/>
      </w:r>
      <w:r>
        <w:rPr>
          <w:rStyle w:val="163"/>
          <w:rFonts w:hint="eastAsia" w:ascii="宋体" w:hAnsi="宋体" w:eastAsia="宋体" w:cs="宋体"/>
          <w:b/>
          <w:color w:val="auto"/>
          <w:sz w:val="28"/>
          <w:szCs w:val="28"/>
          <w:highlight w:val="none"/>
          <w:u w:val="none"/>
        </w:rPr>
        <w:t>评标办法</w:t>
      </w:r>
    </w:p>
    <w:p w14:paraId="03068E93">
      <w:pPr>
        <w:ind w:firstLine="420" w:firstLineChars="200"/>
        <w:rPr>
          <w:rFonts w:hint="eastAsia" w:ascii="宋体" w:hAnsi="宋体" w:eastAsia="宋体" w:cs="宋体"/>
          <w:highlight w:val="none"/>
        </w:rPr>
      </w:pPr>
    </w:p>
    <w:p w14:paraId="1DAC10FC">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"_Toc450137523"</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第五章   合同主要条款</w:t>
      </w:r>
      <w:r>
        <w:rPr>
          <w:rFonts w:hint="eastAsia" w:ascii="宋体" w:hAnsi="宋体" w:eastAsia="宋体" w:cs="宋体"/>
          <w:highlight w:val="none"/>
        </w:rPr>
        <w:fldChar w:fldCharType="end"/>
      </w:r>
    </w:p>
    <w:p w14:paraId="50AA5D70">
      <w:pPr>
        <w:rPr>
          <w:rFonts w:hint="eastAsia" w:ascii="宋体" w:hAnsi="宋体" w:eastAsia="宋体" w:cs="宋体"/>
          <w:highlight w:val="none"/>
        </w:rPr>
      </w:pPr>
    </w:p>
    <w:p w14:paraId="617453A6">
      <w:pPr>
        <w:pStyle w:val="59"/>
        <w:spacing w:line="360" w:lineRule="auto"/>
        <w:ind w:firstLine="440" w:firstLineChars="200"/>
        <w:jc w:val="left"/>
        <w:rPr>
          <w:rStyle w:val="163"/>
          <w:rFonts w:hint="eastAsia" w:ascii="宋体" w:hAnsi="宋体" w:eastAsia="宋体" w:cs="宋体"/>
          <w:b/>
          <w:color w:val="auto"/>
          <w:sz w:val="28"/>
          <w:szCs w:val="28"/>
          <w:highlight w:val="none"/>
          <w:u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"_Toc450137525"</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第六章   质疑</w:t>
      </w:r>
      <w:r>
        <w:rPr>
          <w:rFonts w:hint="eastAsia" w:ascii="宋体" w:hAnsi="宋体" w:eastAsia="宋体" w:cs="宋体"/>
          <w:highlight w:val="none"/>
        </w:rPr>
        <w:fldChar w:fldCharType="end"/>
      </w:r>
      <w:r>
        <w:rPr>
          <w:rStyle w:val="163"/>
          <w:rFonts w:hint="eastAsia" w:ascii="宋体" w:hAnsi="宋体" w:eastAsia="宋体" w:cs="宋体"/>
          <w:b/>
          <w:color w:val="auto"/>
          <w:sz w:val="28"/>
          <w:szCs w:val="28"/>
          <w:highlight w:val="none"/>
          <w:u w:val="none"/>
        </w:rPr>
        <w:t>提出和处理</w:t>
      </w:r>
    </w:p>
    <w:p w14:paraId="53D9C4B5">
      <w:pPr>
        <w:ind w:firstLine="420" w:firstLineChars="200"/>
        <w:rPr>
          <w:rFonts w:hint="eastAsia" w:ascii="宋体" w:hAnsi="宋体" w:eastAsia="宋体" w:cs="宋体"/>
          <w:highlight w:val="none"/>
        </w:rPr>
      </w:pPr>
    </w:p>
    <w:p w14:paraId="6B25655E">
      <w:pPr>
        <w:pStyle w:val="59"/>
        <w:spacing w:line="360" w:lineRule="auto"/>
        <w:ind w:firstLine="440" w:firstLineChars="200"/>
        <w:jc w:val="left"/>
        <w:rPr>
          <w:rFonts w:hint="eastAsia" w:ascii="宋体" w:hAnsi="宋体" w:eastAsia="宋体" w:cs="宋体"/>
          <w:b/>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"_Toc450137526"</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第七章   投标文件组成</w:t>
      </w:r>
      <w:r>
        <w:rPr>
          <w:rFonts w:hint="eastAsia" w:ascii="宋体" w:hAnsi="宋体" w:eastAsia="宋体" w:cs="宋体"/>
          <w:highlight w:val="none"/>
        </w:rPr>
        <w:fldChar w:fldCharType="end"/>
      </w:r>
      <w:r>
        <w:rPr>
          <w:rFonts w:hint="eastAsia" w:ascii="宋体" w:hAnsi="宋体" w:eastAsia="宋体" w:cs="宋体"/>
          <w:highlight w:val="none"/>
        </w:rPr>
        <w:t xml:space="preserve"> </w:t>
      </w:r>
    </w:p>
    <w:p w14:paraId="65A54DB2">
      <w:pPr>
        <w:snapToGrid w:val="0"/>
        <w:spacing w:line="360" w:lineRule="auto"/>
        <w:rPr>
          <w:rFonts w:hint="eastAsia" w:ascii="宋体" w:hAnsi="宋体" w:eastAsia="宋体" w:cs="宋体"/>
          <w:b/>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247" w:bottom="1247" w:left="1247" w:header="851" w:footer="992" w:gutter="0"/>
          <w:pgNumType w:start="1"/>
          <w:cols w:space="720" w:num="1"/>
          <w:docGrid w:type="lines" w:linePitch="312" w:charSpace="0"/>
        </w:sectPr>
      </w:pPr>
    </w:p>
    <w:p w14:paraId="13319D19">
      <w:pPr>
        <w:pStyle w:val="265"/>
        <w:spacing w:beforeLines="0" w:afterLines="0"/>
        <w:rPr>
          <w:rFonts w:hint="eastAsia" w:ascii="宋体" w:hAnsi="宋体" w:eastAsia="宋体" w:cs="宋体"/>
          <w:sz w:val="36"/>
          <w:szCs w:val="36"/>
          <w:highlight w:val="none"/>
        </w:rPr>
      </w:pPr>
      <w:r>
        <w:rPr>
          <w:rFonts w:hint="eastAsia" w:ascii="宋体" w:hAnsi="宋体" w:eastAsia="宋体" w:cs="宋体"/>
          <w:sz w:val="36"/>
          <w:szCs w:val="36"/>
          <w:highlight w:val="none"/>
        </w:rPr>
        <w:t>第一章 招标公告</w:t>
      </w:r>
    </w:p>
    <w:p w14:paraId="5A934353">
      <w:pPr>
        <w:pBdr>
          <w:top w:val="single" w:color="auto" w:sz="4" w:space="1"/>
          <w:left w:val="single" w:color="auto" w:sz="4" w:space="4"/>
          <w:bottom w:val="single" w:color="auto" w:sz="4" w:space="0"/>
          <w:right w:val="single" w:color="auto" w:sz="4" w:space="0"/>
        </w:pBdr>
        <w:spacing w:line="440" w:lineRule="exact"/>
        <w:rPr>
          <w:rFonts w:hint="eastAsia" w:ascii="宋体" w:hAnsi="宋体" w:eastAsia="宋体" w:cs="宋体"/>
          <w:b/>
          <w:bCs/>
          <w:sz w:val="24"/>
          <w:highlight w:val="none"/>
        </w:rPr>
      </w:pPr>
      <w:bookmarkStart w:id="0" w:name="_Hlk67480463"/>
      <w:r>
        <w:rPr>
          <w:rFonts w:hint="eastAsia" w:ascii="宋体" w:hAnsi="宋体" w:eastAsia="宋体" w:cs="宋体"/>
          <w:b/>
          <w:bCs/>
          <w:sz w:val="24"/>
          <w:highlight w:val="none"/>
        </w:rPr>
        <w:t>项目概况</w:t>
      </w:r>
    </w:p>
    <w:p w14:paraId="12101F59">
      <w:pPr>
        <w:pBdr>
          <w:top w:val="single" w:color="auto" w:sz="4" w:space="1"/>
          <w:left w:val="single" w:color="auto" w:sz="4" w:space="4"/>
          <w:bottom w:val="single" w:color="auto" w:sz="4" w:space="0"/>
          <w:right w:val="single" w:color="auto" w:sz="4" w:space="0"/>
        </w:pBdr>
        <w:wordWrap w:val="0"/>
        <w:snapToGrid w:val="0"/>
        <w:spacing w:line="440" w:lineRule="exact"/>
        <w:ind w:firstLine="482" w:firstLineChars="200"/>
        <w:rPr>
          <w:rFonts w:hint="eastAsia" w:ascii="宋体" w:hAnsi="宋体" w:eastAsia="宋体" w:cs="宋体"/>
          <w:highlight w:val="none"/>
        </w:rPr>
      </w:pPr>
      <w:r>
        <w:rPr>
          <w:rFonts w:hint="eastAsia" w:ascii="宋体" w:hAnsi="宋体" w:eastAsia="宋体" w:cs="宋体"/>
          <w:b/>
          <w:bCs/>
          <w:sz w:val="24"/>
          <w:highlight w:val="none"/>
          <w:u w:val="single"/>
          <w:lang w:eastAsia="zh-CN"/>
        </w:rPr>
        <w:t>体育中心物业劳务分包</w:t>
      </w:r>
      <w:r>
        <w:rPr>
          <w:rFonts w:hint="eastAsia" w:ascii="宋体" w:hAnsi="宋体" w:eastAsia="宋体" w:cs="宋体"/>
          <w:b/>
          <w:bCs/>
          <w:sz w:val="24"/>
          <w:highlight w:val="none"/>
        </w:rPr>
        <w:t>的潜在投标人应在</w:t>
      </w:r>
      <w:r>
        <w:rPr>
          <w:rFonts w:hint="eastAsia" w:ascii="宋体" w:hAnsi="宋体" w:eastAsia="宋体" w:cs="宋体"/>
          <w:b/>
          <w:bCs/>
          <w:sz w:val="24"/>
          <w:highlight w:val="none"/>
          <w:u w:val="single"/>
        </w:rPr>
        <w:t>“南通圆宏控股集团有限公司集团官网（https://www.ntyhjt.com/lists/12.html）－公告公示－招标投标版块”</w:t>
      </w:r>
      <w:r>
        <w:rPr>
          <w:rFonts w:hint="eastAsia" w:ascii="宋体" w:hAnsi="宋体" w:eastAsia="宋体" w:cs="宋体"/>
          <w:b/>
          <w:bCs/>
          <w:sz w:val="24"/>
          <w:highlight w:val="none"/>
          <w:u w:val="single"/>
        </w:rPr>
        <w:fldChar w:fldCharType="begin"/>
      </w:r>
      <w:r>
        <w:rPr>
          <w:rFonts w:hint="eastAsia" w:ascii="宋体" w:hAnsi="宋体" w:eastAsia="宋体" w:cs="宋体"/>
          <w:b/>
          <w:bCs/>
          <w:sz w:val="24"/>
          <w:highlight w:val="none"/>
          <w:u w:val="single"/>
        </w:rPr>
        <w:instrText xml:space="preserve"> HYPERLINK "http://zfcg.nantong.gov.cn/）\”交易信息栏内</w:instrText>
      </w:r>
      <w:r>
        <w:rPr>
          <w:rFonts w:hint="eastAsia" w:ascii="宋体" w:hAnsi="宋体" w:eastAsia="宋体" w:cs="宋体"/>
          <w:b/>
          <w:bCs/>
          <w:sz w:val="24"/>
          <w:highlight w:val="none"/>
        </w:rPr>
        <w:instrText xml:space="preserve">获取采购文件，并于</w:instrText>
      </w:r>
      <w:r>
        <w:rPr>
          <w:rFonts w:hint="eastAsia" w:ascii="宋体" w:hAnsi="宋体" w:eastAsia="宋体" w:cs="宋体"/>
          <w:b/>
          <w:bCs/>
          <w:sz w:val="24"/>
          <w:highlight w:val="none"/>
          <w:u w:val="single"/>
        </w:rPr>
        <w:instrText xml:space="preserve">2021年6月" </w:instrText>
      </w:r>
      <w:r>
        <w:rPr>
          <w:rFonts w:hint="eastAsia" w:ascii="宋体" w:hAnsi="宋体" w:eastAsia="宋体" w:cs="宋体"/>
          <w:b/>
          <w:bCs/>
          <w:sz w:val="24"/>
          <w:highlight w:val="none"/>
          <w:u w:val="single"/>
        </w:rPr>
        <w:fldChar w:fldCharType="separate"/>
      </w:r>
      <w:r>
        <w:rPr>
          <w:rStyle w:val="96"/>
          <w:rFonts w:hint="eastAsia" w:ascii="宋体" w:hAnsi="宋体" w:eastAsia="宋体" w:cs="宋体"/>
          <w:b/>
          <w:bCs/>
          <w:color w:val="auto"/>
          <w:sz w:val="24"/>
          <w:highlight w:val="none"/>
        </w:rPr>
        <w:t>获取招标文件，并于</w:t>
      </w:r>
      <w:r>
        <w:rPr>
          <w:rStyle w:val="96"/>
          <w:rFonts w:hint="eastAsia" w:ascii="宋体" w:hAnsi="宋体" w:eastAsia="宋体" w:cs="宋体"/>
          <w:b/>
          <w:bCs/>
          <w:color w:val="auto"/>
          <w:sz w:val="24"/>
          <w:highlight w:val="none"/>
          <w:u w:val="single"/>
        </w:rPr>
        <w:t>202</w:t>
      </w:r>
      <w:r>
        <w:rPr>
          <w:rStyle w:val="96"/>
          <w:rFonts w:hint="eastAsia" w:ascii="宋体" w:hAnsi="宋体" w:eastAsia="宋体" w:cs="宋体"/>
          <w:b/>
          <w:bCs/>
          <w:color w:val="auto"/>
          <w:sz w:val="24"/>
          <w:highlight w:val="none"/>
          <w:u w:val="single"/>
          <w:lang w:val="en-US" w:eastAsia="zh-CN"/>
        </w:rPr>
        <w:t>6</w:t>
      </w:r>
      <w:r>
        <w:rPr>
          <w:rStyle w:val="96"/>
          <w:rFonts w:hint="eastAsia" w:ascii="宋体" w:hAnsi="宋体" w:eastAsia="宋体" w:cs="宋体"/>
          <w:b/>
          <w:bCs/>
          <w:color w:val="auto"/>
          <w:sz w:val="24"/>
          <w:highlight w:val="none"/>
          <w:u w:val="single"/>
        </w:rPr>
        <w:t>年</w:t>
      </w:r>
      <w:r>
        <w:rPr>
          <w:rStyle w:val="96"/>
          <w:rFonts w:hint="eastAsia" w:ascii="宋体" w:hAnsi="宋体" w:cs="宋体"/>
          <w:b/>
          <w:bCs/>
          <w:color w:val="auto"/>
          <w:sz w:val="24"/>
          <w:highlight w:val="none"/>
          <w:u w:val="single"/>
          <w:lang w:val="en-US" w:eastAsia="zh-CN"/>
        </w:rPr>
        <w:t>4</w:t>
      </w:r>
      <w:r>
        <w:rPr>
          <w:rStyle w:val="96"/>
          <w:rFonts w:hint="eastAsia" w:ascii="宋体" w:hAnsi="宋体" w:eastAsia="宋体" w:cs="宋体"/>
          <w:b/>
          <w:bCs/>
          <w:color w:val="auto"/>
          <w:sz w:val="24"/>
          <w:highlight w:val="none"/>
          <w:u w:val="single"/>
        </w:rPr>
        <w:t>月</w:t>
      </w:r>
      <w:r>
        <w:rPr>
          <w:rFonts w:hint="eastAsia" w:ascii="宋体" w:hAnsi="宋体" w:eastAsia="宋体" w:cs="宋体"/>
          <w:b/>
          <w:bCs/>
          <w:sz w:val="24"/>
          <w:highlight w:val="none"/>
          <w:u w:val="single"/>
        </w:rPr>
        <w:fldChar w:fldCharType="end"/>
      </w:r>
      <w:r>
        <w:rPr>
          <w:rFonts w:hint="eastAsia" w:ascii="宋体" w:hAnsi="宋体" w:cs="宋体"/>
          <w:b/>
          <w:bCs/>
          <w:sz w:val="24"/>
          <w:highlight w:val="none"/>
          <w:u w:val="single"/>
          <w:lang w:val="en-US" w:eastAsia="zh-CN"/>
        </w:rPr>
        <w:t>23</w:t>
      </w:r>
      <w:r>
        <w:rPr>
          <w:rFonts w:hint="eastAsia" w:ascii="宋体" w:hAnsi="宋体" w:eastAsia="宋体" w:cs="宋体"/>
          <w:b/>
          <w:bCs/>
          <w:sz w:val="24"/>
          <w:highlight w:val="none"/>
          <w:u w:val="single"/>
        </w:rPr>
        <w:t>日</w:t>
      </w:r>
      <w:r>
        <w:rPr>
          <w:rFonts w:hint="eastAsia" w:ascii="宋体" w:hAnsi="宋体" w:eastAsia="宋体" w:cs="宋体"/>
          <w:b/>
          <w:bCs/>
          <w:sz w:val="24"/>
          <w:highlight w:val="none"/>
          <w:u w:val="single"/>
          <w:lang w:val="en-US" w:eastAsia="zh-CN"/>
        </w:rPr>
        <w:t>9</w:t>
      </w:r>
      <w:r>
        <w:rPr>
          <w:rFonts w:hint="eastAsia" w:ascii="宋体" w:hAnsi="宋体" w:eastAsia="宋体" w:cs="宋体"/>
          <w:b/>
          <w:bCs/>
          <w:sz w:val="24"/>
          <w:highlight w:val="none"/>
          <w:u w:val="single"/>
        </w:rPr>
        <w:t>时</w:t>
      </w:r>
      <w:r>
        <w:rPr>
          <w:rFonts w:hint="eastAsia" w:ascii="宋体" w:hAnsi="宋体" w:eastAsia="宋体" w:cs="宋体"/>
          <w:b/>
          <w:bCs/>
          <w:sz w:val="24"/>
          <w:highlight w:val="none"/>
          <w:u w:val="single"/>
          <w:lang w:val="en-US" w:eastAsia="zh-CN"/>
        </w:rPr>
        <w:t>30</w:t>
      </w:r>
      <w:r>
        <w:rPr>
          <w:rFonts w:hint="eastAsia" w:ascii="宋体" w:hAnsi="宋体" w:eastAsia="宋体" w:cs="宋体"/>
          <w:b/>
          <w:bCs/>
          <w:sz w:val="24"/>
          <w:highlight w:val="none"/>
          <w:u w:val="single"/>
        </w:rPr>
        <w:t>分</w:t>
      </w:r>
      <w:r>
        <w:rPr>
          <w:rFonts w:hint="eastAsia" w:ascii="宋体" w:hAnsi="宋体" w:eastAsia="宋体" w:cs="宋体"/>
          <w:b/>
          <w:bCs/>
          <w:sz w:val="24"/>
          <w:highlight w:val="none"/>
        </w:rPr>
        <w:t>（北京时间）前提交投标文件。</w:t>
      </w:r>
      <w:bookmarkEnd w:id="0"/>
    </w:p>
    <w:p w14:paraId="7787E4D8">
      <w:pPr>
        <w:keepNext w:val="0"/>
        <w:keepLines w:val="0"/>
        <w:pageBreakBefore w:val="0"/>
        <w:kinsoku/>
        <w:wordWrap/>
        <w:overflowPunct/>
        <w:topLinePunct w:val="0"/>
        <w:bidi w:val="0"/>
        <w:snapToGrid w:val="0"/>
        <w:spacing w:line="480" w:lineRule="exact"/>
        <w:ind w:firstLine="480" w:firstLineChars="200"/>
        <w:jc w:val="left"/>
        <w:textAlignment w:val="auto"/>
        <w:rPr>
          <w:rFonts w:hint="eastAsia" w:ascii="宋体" w:hAnsi="宋体" w:eastAsia="宋体" w:cs="宋体"/>
          <w:sz w:val="24"/>
          <w:highlight w:val="none"/>
        </w:rPr>
      </w:pPr>
      <w:bookmarkStart w:id="1" w:name="_Toc182848970"/>
      <w:r>
        <w:rPr>
          <w:rFonts w:hint="eastAsia" w:ascii="宋体" w:hAnsi="宋体" w:eastAsia="宋体" w:cs="宋体"/>
          <w:sz w:val="24"/>
          <w:highlight w:val="none"/>
          <w:u w:val="single"/>
        </w:rPr>
        <w:t>江苏永诚工程造价事务所有限公司</w:t>
      </w:r>
      <w:r>
        <w:rPr>
          <w:rFonts w:hint="eastAsia" w:ascii="宋体" w:hAnsi="宋体" w:eastAsia="宋体" w:cs="宋体"/>
          <w:sz w:val="24"/>
          <w:highlight w:val="none"/>
        </w:rPr>
        <w:t>（以下称招标代理机构）受</w:t>
      </w:r>
      <w:r>
        <w:rPr>
          <w:rFonts w:hint="eastAsia" w:ascii="宋体" w:hAnsi="宋体" w:eastAsia="宋体" w:cs="宋体"/>
          <w:sz w:val="24"/>
          <w:highlight w:val="none"/>
          <w:u w:val="single"/>
        </w:rPr>
        <w:t>南通中宏环境发展有限公司</w:t>
      </w:r>
      <w:r>
        <w:rPr>
          <w:rFonts w:hint="eastAsia" w:ascii="宋体" w:hAnsi="宋体" w:eastAsia="宋体" w:cs="宋体"/>
          <w:sz w:val="24"/>
          <w:highlight w:val="none"/>
        </w:rPr>
        <w:t>的委托，就</w:t>
      </w:r>
      <w:r>
        <w:rPr>
          <w:rFonts w:hint="eastAsia" w:ascii="宋体" w:hAnsi="宋体" w:eastAsia="宋体" w:cs="宋体"/>
          <w:sz w:val="24"/>
          <w:highlight w:val="none"/>
          <w:u w:val="single"/>
          <w:lang w:eastAsia="zh-CN"/>
        </w:rPr>
        <w:t>体育中心物业劳务分包</w:t>
      </w:r>
      <w:r>
        <w:rPr>
          <w:rFonts w:hint="eastAsia" w:ascii="宋体" w:hAnsi="宋体" w:eastAsia="宋体" w:cs="宋体"/>
          <w:sz w:val="24"/>
          <w:highlight w:val="none"/>
        </w:rPr>
        <w:t>拟用公开招标方式组织采购。现公告如下：</w:t>
      </w:r>
    </w:p>
    <w:p w14:paraId="3E9082C0">
      <w:pPr>
        <w:keepNext w:val="0"/>
        <w:keepLines w:val="0"/>
        <w:pageBreakBefore w:val="0"/>
        <w:kinsoku/>
        <w:wordWrap/>
        <w:overflowPunct/>
        <w:topLinePunct w:val="0"/>
        <w:bidi w:val="0"/>
        <w:snapToGrid w:val="0"/>
        <w:spacing w:line="480" w:lineRule="exact"/>
        <w:ind w:firstLine="482" w:firstLineChars="200"/>
        <w:jc w:val="left"/>
        <w:textAlignment w:val="auto"/>
        <w:rPr>
          <w:rFonts w:hint="eastAsia" w:ascii="宋体" w:hAnsi="宋体" w:eastAsia="宋体" w:cs="宋体"/>
          <w:b/>
          <w:sz w:val="24"/>
          <w:highlight w:val="none"/>
        </w:rPr>
      </w:pPr>
      <w:r>
        <w:rPr>
          <w:rFonts w:hint="eastAsia" w:ascii="宋体" w:hAnsi="宋体" w:eastAsia="宋体" w:cs="宋体"/>
          <w:b/>
          <w:sz w:val="24"/>
          <w:highlight w:val="none"/>
        </w:rPr>
        <w:t>一、项目基本情况</w:t>
      </w:r>
    </w:p>
    <w:p w14:paraId="372B0A31">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1.项目名称：</w:t>
      </w:r>
      <w:r>
        <w:rPr>
          <w:rFonts w:hint="eastAsia" w:ascii="宋体" w:hAnsi="宋体" w:eastAsia="宋体" w:cs="宋体"/>
          <w:kern w:val="0"/>
          <w:sz w:val="24"/>
          <w:highlight w:val="none"/>
          <w:lang w:eastAsia="zh-CN"/>
        </w:rPr>
        <w:t>体育中心物业劳务分包</w:t>
      </w:r>
    </w:p>
    <w:p w14:paraId="54A8A14B">
      <w:pPr>
        <w:keepNext w:val="0"/>
        <w:keepLines w:val="0"/>
        <w:pageBreakBefore w:val="0"/>
        <w:tabs>
          <w:tab w:val="left" w:pos="6300"/>
        </w:tabs>
        <w:kinsoku/>
        <w:wordWrap/>
        <w:overflowPunct/>
        <w:topLinePunct w:val="0"/>
        <w:bidi w:val="0"/>
        <w:snapToGrid w:val="0"/>
        <w:spacing w:line="480" w:lineRule="exact"/>
        <w:ind w:firstLine="480" w:firstLineChars="200"/>
        <w:textAlignment w:val="auto"/>
        <w:rPr>
          <w:rFonts w:hint="eastAsia" w:ascii="宋体" w:hAnsi="宋体" w:eastAsia="宋体" w:cs="宋体"/>
          <w:highlight w:val="none"/>
        </w:rPr>
      </w:pPr>
      <w:r>
        <w:rPr>
          <w:rFonts w:hint="eastAsia" w:ascii="宋体" w:hAnsi="宋体" w:eastAsia="宋体" w:cs="宋体"/>
          <w:kern w:val="0"/>
          <w:sz w:val="24"/>
          <w:highlight w:val="none"/>
        </w:rPr>
        <w:t>2.最高限价</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含税</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：最高限价为</w:t>
      </w:r>
      <w:r>
        <w:rPr>
          <w:rFonts w:hint="eastAsia" w:ascii="宋体" w:hAnsi="宋体" w:eastAsia="宋体" w:cs="宋体"/>
          <w:kern w:val="0"/>
          <w:sz w:val="24"/>
          <w:highlight w:val="none"/>
          <w:lang w:val="en-US" w:eastAsia="zh-CN"/>
        </w:rPr>
        <w:t>人民币148.42万元/年</w:t>
      </w:r>
      <w:r>
        <w:rPr>
          <w:rFonts w:hint="eastAsia" w:ascii="宋体" w:hAnsi="宋体" w:eastAsia="宋体" w:cs="宋体"/>
          <w:sz w:val="24"/>
          <w:highlight w:val="none"/>
        </w:rPr>
        <w:t>。投</w:t>
      </w:r>
      <w:r>
        <w:rPr>
          <w:rFonts w:hint="eastAsia" w:ascii="宋体" w:hAnsi="宋体" w:eastAsia="宋体" w:cs="宋体"/>
          <w:kern w:val="0"/>
          <w:sz w:val="24"/>
          <w:highlight w:val="none"/>
        </w:rPr>
        <w:t>标报价超过最高限价的视为无效报价，作无效标处理。</w:t>
      </w:r>
    </w:p>
    <w:p w14:paraId="52BD0AFD">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3.项目需求：</w:t>
      </w:r>
      <w:r>
        <w:rPr>
          <w:rFonts w:hint="eastAsia" w:ascii="宋体" w:hAnsi="宋体" w:eastAsia="宋体" w:cs="宋体"/>
          <w:kern w:val="0"/>
          <w:sz w:val="24"/>
          <w:highlight w:val="none"/>
          <w:lang w:eastAsia="zh-CN"/>
        </w:rPr>
        <w:t>体育中心物业劳务分包</w:t>
      </w:r>
      <w:r>
        <w:rPr>
          <w:rFonts w:hint="eastAsia" w:ascii="宋体" w:hAnsi="宋体" w:eastAsia="宋体" w:cs="宋体"/>
          <w:kern w:val="0"/>
          <w:sz w:val="24"/>
          <w:highlight w:val="none"/>
        </w:rPr>
        <w:t>，详见第三部分项目需求。</w:t>
      </w:r>
    </w:p>
    <w:p w14:paraId="6C95516B">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bCs/>
          <w:sz w:val="24"/>
          <w:highlight w:val="none"/>
        </w:rPr>
      </w:pPr>
      <w:r>
        <w:rPr>
          <w:rFonts w:hint="eastAsia" w:ascii="宋体" w:hAnsi="宋体" w:eastAsia="宋体" w:cs="宋体"/>
          <w:kern w:val="0"/>
          <w:sz w:val="24"/>
          <w:highlight w:val="none"/>
        </w:rPr>
        <w:t>4.服务期限：</w:t>
      </w:r>
      <w:r>
        <w:rPr>
          <w:rFonts w:hint="eastAsia" w:ascii="宋体" w:hAnsi="宋体" w:eastAsia="宋体" w:cs="宋体"/>
          <w:sz w:val="24"/>
          <w:highlight w:val="none"/>
        </w:rPr>
        <w:t>1年，上期结束开始至2026年12月31日。</w:t>
      </w:r>
    </w:p>
    <w:p w14:paraId="19B736DB">
      <w:pPr>
        <w:keepNext w:val="0"/>
        <w:keepLines w:val="0"/>
        <w:pageBreakBefore w:val="0"/>
        <w:kinsoku/>
        <w:wordWrap/>
        <w:overflowPunct/>
        <w:topLinePunct w:val="0"/>
        <w:bidi w:val="0"/>
        <w:snapToGrid w:val="0"/>
        <w:spacing w:line="480" w:lineRule="exact"/>
        <w:ind w:firstLine="482" w:firstLineChars="200"/>
        <w:textAlignment w:val="auto"/>
        <w:rPr>
          <w:rFonts w:hint="eastAsia" w:ascii="宋体" w:hAnsi="宋体" w:eastAsia="宋体" w:cs="宋体"/>
          <w:b/>
          <w:bCs/>
          <w:sz w:val="24"/>
          <w:highlight w:val="none"/>
        </w:rPr>
      </w:pPr>
      <w:bookmarkStart w:id="2" w:name="_Toc28359013"/>
      <w:bookmarkStart w:id="3" w:name="_Toc35393630"/>
      <w:bookmarkStart w:id="4" w:name="_Toc35393799"/>
      <w:bookmarkStart w:id="5" w:name="_Toc28359090"/>
      <w:r>
        <w:rPr>
          <w:rFonts w:hint="eastAsia" w:ascii="宋体" w:hAnsi="宋体" w:eastAsia="宋体" w:cs="宋体"/>
          <w:b/>
          <w:bCs/>
          <w:sz w:val="24"/>
          <w:highlight w:val="none"/>
        </w:rPr>
        <w:t>二、申请人的资格要求</w:t>
      </w:r>
      <w:bookmarkEnd w:id="2"/>
      <w:bookmarkEnd w:id="3"/>
      <w:bookmarkEnd w:id="4"/>
      <w:bookmarkEnd w:id="5"/>
    </w:p>
    <w:p w14:paraId="28868ECF">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bCs/>
          <w:sz w:val="24"/>
          <w:highlight w:val="none"/>
        </w:rPr>
      </w:pPr>
      <w:bookmarkStart w:id="6" w:name="_Toc35393631"/>
      <w:bookmarkStart w:id="7" w:name="_Toc28359014"/>
      <w:bookmarkStart w:id="8" w:name="_Toc28359091"/>
      <w:bookmarkStart w:id="9" w:name="_Toc35393800"/>
      <w:r>
        <w:rPr>
          <w:rFonts w:hint="eastAsia" w:ascii="宋体" w:hAnsi="宋体" w:eastAsia="宋体" w:cs="宋体"/>
          <w:sz w:val="24"/>
          <w:highlight w:val="none"/>
          <w:lang w:bidi="ar"/>
        </w:rPr>
        <w:t>1.投标人具有独立承担民事责任的能力；具有良好的商业信誉和健全的财务会计制度；具有履行合同所必需的设备和专业技术能力；有依法缴纳“税收”和“社会保障资金”的良好记录；</w:t>
      </w:r>
      <w:r>
        <w:rPr>
          <w:rFonts w:hint="eastAsia" w:ascii="宋体" w:hAnsi="宋体" w:eastAsia="宋体" w:cs="宋体"/>
          <w:bCs/>
          <w:sz w:val="24"/>
          <w:highlight w:val="none"/>
        </w:rPr>
        <w:t>参加本项目招标活动前三年内，在经营活动中没有重大违法记录。</w:t>
      </w:r>
    </w:p>
    <w:p w14:paraId="2BA9DF31">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rPr>
        <w:t>2.法定代表人为同一人或者存在直接控股、管理关系的不同投标人，不得同时参与同一招标项目相同标段的招标活动，一经发现，将视同围标处理。</w:t>
      </w:r>
    </w:p>
    <w:p w14:paraId="473B446F">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color w:val="000000"/>
          <w:kern w:val="0"/>
          <w:sz w:val="24"/>
          <w:highlight w:val="none"/>
        </w:rPr>
        <w:t>3.本项目的特定资格要求</w:t>
      </w:r>
      <w:r>
        <w:rPr>
          <w:rFonts w:hint="eastAsia" w:ascii="宋体" w:hAnsi="宋体" w:eastAsia="宋体" w:cs="宋体"/>
          <w:color w:val="000000"/>
          <w:kern w:val="0"/>
          <w:sz w:val="24"/>
          <w:highlight w:val="none"/>
          <w:lang w:eastAsia="zh-CN"/>
        </w:rPr>
        <w:t>：</w:t>
      </w:r>
      <w:r>
        <w:rPr>
          <w:rFonts w:hint="eastAsia" w:ascii="宋体" w:hAnsi="宋体" w:eastAsia="宋体" w:cs="宋体"/>
          <w:b w:val="0"/>
          <w:bCs w:val="0"/>
          <w:color w:val="auto"/>
          <w:kern w:val="0"/>
          <w:sz w:val="24"/>
          <w:highlight w:val="none"/>
          <w:lang w:val="en-US" w:eastAsia="zh-CN"/>
        </w:rPr>
        <w:t>投标人为</w:t>
      </w:r>
      <w:r>
        <w:rPr>
          <w:rFonts w:hint="eastAsia" w:ascii="宋体" w:hAnsi="宋体" w:eastAsia="宋体" w:cs="宋体"/>
          <w:b w:val="0"/>
          <w:bCs w:val="0"/>
          <w:color w:val="auto"/>
          <w:kern w:val="0"/>
          <w:sz w:val="24"/>
          <w:highlight w:val="none"/>
        </w:rPr>
        <w:t>通州区物管中心信用考核合格单位或南通物业协会考核合格单位</w:t>
      </w:r>
      <w:r>
        <w:rPr>
          <w:rFonts w:hint="eastAsia" w:ascii="宋体" w:hAnsi="宋体" w:eastAsia="宋体" w:cs="宋体"/>
          <w:b w:val="0"/>
          <w:bCs w:val="0"/>
          <w:color w:val="auto"/>
          <w:kern w:val="0"/>
          <w:sz w:val="24"/>
          <w:highlight w:val="none"/>
          <w:lang w:eastAsia="zh-CN"/>
        </w:rPr>
        <w:t>。</w:t>
      </w:r>
    </w:p>
    <w:p w14:paraId="19A8A8C0">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4.本项目不接受联合体投标。</w:t>
      </w:r>
    </w:p>
    <w:p w14:paraId="3C26BA8F">
      <w:pPr>
        <w:keepNext w:val="0"/>
        <w:keepLines w:val="0"/>
        <w:pageBreakBefore w:val="0"/>
        <w:kinsoku/>
        <w:wordWrap/>
        <w:overflowPunct/>
        <w:topLinePunct w:val="0"/>
        <w:bidi w:val="0"/>
        <w:snapToGrid w:val="0"/>
        <w:spacing w:line="480" w:lineRule="exact"/>
        <w:ind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highlight w:val="none"/>
        </w:rPr>
        <w:t>三、获取招标文件</w:t>
      </w:r>
      <w:bookmarkEnd w:id="6"/>
      <w:bookmarkEnd w:id="7"/>
      <w:bookmarkEnd w:id="8"/>
      <w:bookmarkEnd w:id="9"/>
    </w:p>
    <w:p w14:paraId="5D034BC7">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u w:val="single"/>
        </w:rPr>
        <w:t>自公告发布之日起</w:t>
      </w:r>
      <w:r>
        <w:rPr>
          <w:rFonts w:hint="eastAsia" w:ascii="宋体" w:hAnsi="宋体" w:eastAsia="宋体" w:cs="宋体"/>
          <w:sz w:val="24"/>
          <w:highlight w:val="none"/>
        </w:rPr>
        <w:t>至</w:t>
      </w:r>
      <w:r>
        <w:rPr>
          <w:rFonts w:hint="eastAsia" w:ascii="宋体" w:hAnsi="宋体" w:eastAsia="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eastAsia="宋体" w:cs="宋体"/>
          <w:bCs/>
          <w:sz w:val="24"/>
          <w:highlight w:val="none"/>
          <w:u w:val="single"/>
        </w:rPr>
        <w:t>年</w:t>
      </w:r>
      <w:r>
        <w:rPr>
          <w:rFonts w:hint="eastAsia" w:ascii="宋体" w:hAnsi="宋体" w:cs="宋体"/>
          <w:bCs/>
          <w:sz w:val="24"/>
          <w:highlight w:val="none"/>
          <w:u w:val="single"/>
          <w:lang w:val="en-US" w:eastAsia="zh-CN"/>
        </w:rPr>
        <w:t>4</w:t>
      </w:r>
      <w:r>
        <w:rPr>
          <w:rFonts w:hint="eastAsia" w:ascii="宋体" w:hAnsi="宋体" w:eastAsia="宋体" w:cs="宋体"/>
          <w:bCs/>
          <w:sz w:val="24"/>
          <w:highlight w:val="none"/>
          <w:u w:val="single"/>
        </w:rPr>
        <w:t>月</w:t>
      </w:r>
      <w:r>
        <w:rPr>
          <w:rFonts w:hint="eastAsia" w:ascii="宋体" w:hAnsi="宋体" w:cs="宋体"/>
          <w:bCs/>
          <w:sz w:val="24"/>
          <w:highlight w:val="none"/>
          <w:u w:val="single"/>
          <w:lang w:val="en-US" w:eastAsia="zh-CN"/>
        </w:rPr>
        <w:t>23</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6B05B662">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2.地点：</w:t>
      </w:r>
      <w:r>
        <w:rPr>
          <w:rFonts w:hint="eastAsia" w:ascii="宋体" w:hAnsi="宋体" w:eastAsia="宋体" w:cs="宋体"/>
          <w:sz w:val="24"/>
          <w:highlight w:val="none"/>
          <w:u w:val="single"/>
        </w:rPr>
        <w:t>南通圆宏控股集团有限公司集团官网－公告公示－招标投标版块</w:t>
      </w:r>
      <w:r>
        <w:rPr>
          <w:rFonts w:hint="eastAsia" w:ascii="宋体" w:hAnsi="宋体" w:eastAsia="宋体" w:cs="宋体"/>
          <w:sz w:val="24"/>
          <w:highlight w:val="none"/>
        </w:rPr>
        <w:t>。</w:t>
      </w:r>
    </w:p>
    <w:p w14:paraId="41091601">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3.方式：自行下载。</w:t>
      </w:r>
    </w:p>
    <w:p w14:paraId="0F6A0C07">
      <w:pPr>
        <w:keepNext w:val="0"/>
        <w:keepLines w:val="0"/>
        <w:pageBreakBefore w:val="0"/>
        <w:kinsoku/>
        <w:wordWrap/>
        <w:overflowPunct/>
        <w:topLinePunct w:val="0"/>
        <w:bidi w:val="0"/>
        <w:snapToGrid w:val="0"/>
        <w:spacing w:line="480" w:lineRule="exact"/>
        <w:ind w:firstLine="482" w:firstLineChars="20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四、提交投标文件截止时间、开标时间和地点</w:t>
      </w:r>
    </w:p>
    <w:p w14:paraId="5044F1FF">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1.截止时间：</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23</w:t>
      </w:r>
      <w:r>
        <w:rPr>
          <w:rFonts w:hint="eastAsia" w:ascii="宋体" w:hAnsi="宋体" w:eastAsia="宋体" w:cs="宋体"/>
          <w:sz w:val="24"/>
          <w:highlight w:val="none"/>
          <w:u w:val="single"/>
        </w:rPr>
        <w:t>日</w:t>
      </w:r>
      <w:r>
        <w:rPr>
          <w:rFonts w:hint="eastAsia" w:ascii="宋体" w:hAnsi="宋体" w:eastAsia="宋体" w:cs="宋体"/>
          <w:sz w:val="24"/>
          <w:highlight w:val="none"/>
          <w:u w:val="single"/>
          <w:lang w:val="en-US" w:eastAsia="zh-CN"/>
        </w:rPr>
        <w:t>9</w:t>
      </w:r>
      <w:r>
        <w:rPr>
          <w:rFonts w:hint="eastAsia" w:ascii="宋体" w:hAnsi="宋体" w:eastAsia="宋体" w:cs="宋体"/>
          <w:bCs/>
          <w:sz w:val="24"/>
          <w:highlight w:val="none"/>
          <w:u w:val="single"/>
        </w:rPr>
        <w:t>时</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分</w:t>
      </w:r>
      <w:r>
        <w:rPr>
          <w:rFonts w:hint="eastAsia" w:ascii="宋体" w:hAnsi="宋体" w:eastAsia="宋体" w:cs="宋体"/>
          <w:bCs/>
          <w:sz w:val="24"/>
          <w:highlight w:val="none"/>
        </w:rPr>
        <w:t>（北京时间）</w:t>
      </w:r>
      <w:r>
        <w:rPr>
          <w:rFonts w:hint="eastAsia" w:ascii="宋体" w:hAnsi="宋体" w:eastAsia="宋体" w:cs="宋体"/>
          <w:sz w:val="24"/>
          <w:highlight w:val="none"/>
        </w:rPr>
        <w:t>，逾时拒绝接收投标文件。</w:t>
      </w:r>
    </w:p>
    <w:p w14:paraId="6D4B5BA6">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rPr>
        <w:t>2.地    点：</w:t>
      </w:r>
      <w:r>
        <w:rPr>
          <w:rFonts w:hint="eastAsia" w:ascii="宋体" w:hAnsi="宋体" w:eastAsia="宋体" w:cs="宋体"/>
          <w:bCs/>
          <w:sz w:val="24"/>
          <w:highlight w:val="none"/>
          <w:u w:val="single"/>
        </w:rPr>
        <w:t>南通市通州区金霞路555号江海圆融汇1号楼8层开标室，如有变动另行通知</w:t>
      </w:r>
      <w:r>
        <w:rPr>
          <w:rFonts w:hint="eastAsia" w:ascii="宋体" w:hAnsi="宋体" w:eastAsia="宋体" w:cs="宋体"/>
          <w:bCs/>
          <w:sz w:val="24"/>
          <w:highlight w:val="none"/>
        </w:rPr>
        <w:t>。</w:t>
      </w:r>
    </w:p>
    <w:p w14:paraId="1229E94F">
      <w:pPr>
        <w:keepNext w:val="0"/>
        <w:keepLines w:val="0"/>
        <w:pageBreakBefore w:val="0"/>
        <w:kinsoku/>
        <w:wordWrap/>
        <w:overflowPunct/>
        <w:topLinePunct w:val="0"/>
        <w:bidi w:val="0"/>
        <w:snapToGrid w:val="0"/>
        <w:spacing w:line="480" w:lineRule="exact"/>
        <w:ind w:firstLine="482" w:firstLineChars="200"/>
        <w:textAlignment w:val="auto"/>
        <w:rPr>
          <w:rFonts w:hint="eastAsia" w:ascii="宋体" w:hAnsi="宋体" w:eastAsia="宋体" w:cs="宋体"/>
          <w:b/>
          <w:bCs/>
          <w:sz w:val="24"/>
          <w:highlight w:val="none"/>
        </w:rPr>
      </w:pPr>
      <w:bookmarkStart w:id="10" w:name="_Toc28359094"/>
      <w:bookmarkStart w:id="11" w:name="_Toc35393803"/>
      <w:bookmarkStart w:id="12" w:name="_Toc28359017"/>
      <w:bookmarkStart w:id="13" w:name="_Toc35393634"/>
      <w:r>
        <w:rPr>
          <w:rFonts w:hint="eastAsia" w:ascii="宋体" w:hAnsi="宋体" w:eastAsia="宋体" w:cs="宋体"/>
          <w:b/>
          <w:bCs/>
          <w:sz w:val="24"/>
          <w:highlight w:val="none"/>
        </w:rPr>
        <w:t>五、公告期限</w:t>
      </w:r>
      <w:bookmarkEnd w:id="10"/>
      <w:bookmarkEnd w:id="11"/>
      <w:bookmarkEnd w:id="12"/>
      <w:bookmarkEnd w:id="13"/>
    </w:p>
    <w:p w14:paraId="73E5E09F">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自本公告发布之日起5日。</w:t>
      </w:r>
    </w:p>
    <w:p w14:paraId="0C6F0589">
      <w:pPr>
        <w:keepNext w:val="0"/>
        <w:keepLines w:val="0"/>
        <w:pageBreakBefore w:val="0"/>
        <w:kinsoku/>
        <w:wordWrap/>
        <w:overflowPunct/>
        <w:topLinePunct w:val="0"/>
        <w:bidi w:val="0"/>
        <w:snapToGrid w:val="0"/>
        <w:spacing w:line="480" w:lineRule="exact"/>
        <w:ind w:firstLine="482" w:firstLineChars="200"/>
        <w:textAlignment w:val="auto"/>
        <w:rPr>
          <w:rFonts w:hint="eastAsia" w:ascii="宋体" w:hAnsi="宋体" w:eastAsia="宋体" w:cs="宋体"/>
          <w:b/>
          <w:bCs/>
          <w:sz w:val="24"/>
          <w:highlight w:val="none"/>
        </w:rPr>
      </w:pPr>
      <w:bookmarkStart w:id="14" w:name="_Toc35393635"/>
      <w:bookmarkStart w:id="15" w:name="_Toc35393804"/>
      <w:r>
        <w:rPr>
          <w:rFonts w:hint="eastAsia" w:ascii="宋体" w:hAnsi="宋体" w:eastAsia="宋体" w:cs="宋体"/>
          <w:b/>
          <w:bCs/>
          <w:sz w:val="24"/>
          <w:highlight w:val="none"/>
        </w:rPr>
        <w:t>六、其他补充事宜</w:t>
      </w:r>
      <w:bookmarkEnd w:id="14"/>
      <w:bookmarkEnd w:id="15"/>
    </w:p>
    <w:p w14:paraId="6C0A0763">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kern w:val="0"/>
          <w:sz w:val="24"/>
          <w:highlight w:val="none"/>
        </w:rPr>
        <w:t>1.投标保证金</w:t>
      </w:r>
      <w:r>
        <w:rPr>
          <w:rFonts w:hint="eastAsia" w:ascii="宋体" w:hAnsi="宋体" w:eastAsia="宋体" w:cs="宋体"/>
          <w:color w:val="auto"/>
          <w:kern w:val="0"/>
          <w:sz w:val="24"/>
          <w:highlight w:val="none"/>
        </w:rPr>
        <w:t>：</w:t>
      </w:r>
      <w:r>
        <w:rPr>
          <w:rFonts w:hint="eastAsia" w:ascii="宋体" w:hAnsi="宋体" w:eastAsia="宋体" w:cs="宋体"/>
          <w:b w:val="0"/>
          <w:bCs w:val="0"/>
          <w:color w:val="auto"/>
          <w:kern w:val="0"/>
          <w:sz w:val="24"/>
          <w:highlight w:val="none"/>
          <w:u w:val="none"/>
          <w:lang w:val="en-US" w:eastAsia="zh-CN"/>
        </w:rPr>
        <w:t>免收</w:t>
      </w:r>
      <w:r>
        <w:rPr>
          <w:rFonts w:hint="eastAsia" w:ascii="宋体" w:hAnsi="宋体" w:eastAsia="宋体" w:cs="宋体"/>
          <w:b w:val="0"/>
          <w:bCs w:val="0"/>
          <w:color w:val="auto"/>
          <w:kern w:val="0"/>
          <w:sz w:val="24"/>
          <w:highlight w:val="none"/>
          <w:u w:val="none"/>
        </w:rPr>
        <w:t>。</w:t>
      </w:r>
    </w:p>
    <w:p w14:paraId="122389E2">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2.项目招标活动模式：本项目采用现场开标模式。</w:t>
      </w:r>
    </w:p>
    <w:p w14:paraId="5846BF19">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3.对项目需求部分（投标人其他资格要求、项目需求等）的询问、质疑请向招标人提出，由招标人负责答复；对项目招标文件</w:t>
      </w:r>
      <w:r>
        <w:rPr>
          <w:rFonts w:hint="eastAsia" w:ascii="宋体" w:hAnsi="宋体" w:eastAsia="宋体" w:cs="宋体"/>
          <w:kern w:val="0"/>
          <w:sz w:val="24"/>
          <w:highlight w:val="none"/>
          <w:lang w:eastAsia="zh-CN"/>
        </w:rPr>
        <w:t>其他部分</w:t>
      </w:r>
      <w:r>
        <w:rPr>
          <w:rFonts w:hint="eastAsia" w:ascii="宋体" w:hAnsi="宋体" w:eastAsia="宋体" w:cs="宋体"/>
          <w:kern w:val="0"/>
          <w:sz w:val="24"/>
          <w:highlight w:val="none"/>
        </w:rPr>
        <w:t>的询问请向招标代理机构提出。</w:t>
      </w:r>
    </w:p>
    <w:p w14:paraId="3862DC8D">
      <w:pPr>
        <w:keepNext w:val="0"/>
        <w:keepLines w:val="0"/>
        <w:pageBreakBefore w:val="0"/>
        <w:kinsoku/>
        <w:wordWrap/>
        <w:overflowPunct/>
        <w:topLinePunct w:val="0"/>
        <w:bidi w:val="0"/>
        <w:snapToGrid w:val="0"/>
        <w:spacing w:line="480" w:lineRule="exact"/>
        <w:ind w:firstLine="482" w:firstLineChars="200"/>
        <w:textAlignment w:val="auto"/>
        <w:rPr>
          <w:rFonts w:hint="eastAsia" w:ascii="宋体" w:hAnsi="宋体" w:eastAsia="宋体" w:cs="宋体"/>
          <w:b/>
          <w:bCs/>
          <w:sz w:val="24"/>
          <w:highlight w:val="none"/>
        </w:rPr>
      </w:pPr>
      <w:bookmarkStart w:id="16" w:name="_Toc35393805"/>
      <w:bookmarkStart w:id="17" w:name="_Toc35393636"/>
      <w:bookmarkStart w:id="18" w:name="_Toc28359018"/>
      <w:bookmarkStart w:id="19" w:name="_Toc28359095"/>
      <w:r>
        <w:rPr>
          <w:rFonts w:hint="eastAsia" w:ascii="宋体" w:hAnsi="宋体" w:eastAsia="宋体" w:cs="宋体"/>
          <w:b/>
          <w:bCs/>
          <w:sz w:val="24"/>
          <w:highlight w:val="none"/>
        </w:rPr>
        <w:t>七、</w:t>
      </w:r>
      <w:bookmarkEnd w:id="16"/>
      <w:bookmarkEnd w:id="17"/>
      <w:bookmarkEnd w:id="18"/>
      <w:bookmarkEnd w:id="19"/>
      <w:r>
        <w:rPr>
          <w:rFonts w:hint="eastAsia" w:ascii="宋体" w:hAnsi="宋体" w:eastAsia="宋体" w:cs="宋体"/>
          <w:b/>
          <w:bCs/>
          <w:sz w:val="24"/>
          <w:highlight w:val="none"/>
        </w:rPr>
        <w:t>对本次招标提出询问，请按以下方式联系</w:t>
      </w:r>
    </w:p>
    <w:p w14:paraId="2B97998C">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bookmarkStart w:id="20" w:name="_Toc35393806"/>
      <w:bookmarkStart w:id="21" w:name="_Toc28359096"/>
      <w:bookmarkStart w:id="22" w:name="_Toc35393637"/>
      <w:bookmarkStart w:id="23" w:name="_Toc28359019"/>
      <w:r>
        <w:rPr>
          <w:rFonts w:hint="eastAsia" w:ascii="宋体" w:hAnsi="宋体" w:eastAsia="宋体" w:cs="宋体"/>
          <w:sz w:val="24"/>
          <w:highlight w:val="none"/>
        </w:rPr>
        <w:t>1.招标人信息</w:t>
      </w:r>
      <w:bookmarkEnd w:id="20"/>
      <w:bookmarkEnd w:id="21"/>
      <w:bookmarkEnd w:id="22"/>
      <w:bookmarkEnd w:id="23"/>
    </w:p>
    <w:p w14:paraId="3DCD3EF0">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bCs/>
          <w:sz w:val="24"/>
          <w:highlight w:val="none"/>
          <w:lang w:bidi="ar"/>
        </w:rPr>
        <w:t>南通中宏环境发展有限公司</w:t>
      </w:r>
      <w:r>
        <w:rPr>
          <w:rFonts w:hint="eastAsia" w:ascii="宋体" w:hAnsi="宋体" w:eastAsia="宋体" w:cs="宋体"/>
          <w:sz w:val="24"/>
          <w:highlight w:val="none"/>
        </w:rPr>
        <w:t>　　　　　　　　　　　</w:t>
      </w:r>
    </w:p>
    <w:p w14:paraId="5FE4DE82">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 xml:space="preserve">：李先生  </w:t>
      </w:r>
    </w:p>
    <w:p w14:paraId="487950B5">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lang w:val="en-US" w:eastAsia="zh-CN"/>
        </w:rPr>
      </w:pPr>
      <w:bookmarkStart w:id="24" w:name="_Toc35393638"/>
      <w:bookmarkStart w:id="25" w:name="_Toc28359097"/>
      <w:bookmarkStart w:id="26" w:name="_Toc35393807"/>
      <w:bookmarkStart w:id="27" w:name="_Toc28359020"/>
      <w:r>
        <w:rPr>
          <w:rFonts w:hint="eastAsia" w:ascii="宋体" w:hAnsi="宋体" w:eastAsia="宋体" w:cs="宋体"/>
          <w:sz w:val="24"/>
          <w:highlight w:val="none"/>
          <w:lang w:val="en-US" w:eastAsia="zh-CN"/>
        </w:rPr>
        <w:t>联系方式：19952568586</w:t>
      </w:r>
    </w:p>
    <w:p w14:paraId="51D5305F">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2.招标代理机构信息</w:t>
      </w:r>
      <w:bookmarkEnd w:id="24"/>
      <w:bookmarkEnd w:id="25"/>
      <w:bookmarkEnd w:id="26"/>
      <w:bookmarkEnd w:id="27"/>
    </w:p>
    <w:p w14:paraId="210CBBA1">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名    称：江苏永诚工程造价事务所有限公司　　　　　　　　　　　　</w:t>
      </w:r>
    </w:p>
    <w:p w14:paraId="6773FD68">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地　　址：通州区世纪大道财富中心903室　　　　　　　　　　　</w:t>
      </w:r>
    </w:p>
    <w:p w14:paraId="708E8A43">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 xml:space="preserve">：周先生 </w:t>
      </w:r>
    </w:p>
    <w:p w14:paraId="011619D7">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联系方式：</w:t>
      </w:r>
      <w:r>
        <w:rPr>
          <w:rFonts w:hint="eastAsia" w:ascii="宋体" w:hAnsi="宋体" w:eastAsia="宋体" w:cs="宋体"/>
          <w:sz w:val="24"/>
          <w:highlight w:val="none"/>
        </w:rPr>
        <w:t>13218016690</w:t>
      </w:r>
    </w:p>
    <w:p w14:paraId="4A0E9F01">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bookmarkStart w:id="28" w:name="_Toc28359098"/>
      <w:bookmarkStart w:id="29" w:name="_Toc35393808"/>
      <w:bookmarkStart w:id="30" w:name="_Toc28359021"/>
      <w:bookmarkStart w:id="31" w:name="_Toc35393639"/>
      <w:r>
        <w:rPr>
          <w:rFonts w:hint="eastAsia" w:ascii="宋体" w:hAnsi="宋体" w:eastAsia="宋体" w:cs="宋体"/>
          <w:sz w:val="24"/>
          <w:highlight w:val="none"/>
        </w:rPr>
        <w:t>3.项目联系方式</w:t>
      </w:r>
      <w:bookmarkEnd w:id="28"/>
      <w:bookmarkEnd w:id="29"/>
      <w:bookmarkEnd w:id="30"/>
      <w:bookmarkEnd w:id="31"/>
    </w:p>
    <w:p w14:paraId="29542D1C">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 xml:space="preserve">：周先生 </w:t>
      </w:r>
    </w:p>
    <w:p w14:paraId="2B055448">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联系方式：</w:t>
      </w:r>
      <w:r>
        <w:rPr>
          <w:rFonts w:hint="eastAsia" w:ascii="宋体" w:hAnsi="宋体" w:eastAsia="宋体" w:cs="宋体"/>
          <w:color w:val="000000"/>
          <w:spacing w:val="7"/>
          <w:kern w:val="0"/>
          <w:sz w:val="24"/>
          <w:highlight w:val="none"/>
        </w:rPr>
        <w:t>13218016690</w:t>
      </w:r>
    </w:p>
    <w:p w14:paraId="2D73C15C">
      <w:pPr>
        <w:snapToGrid w:val="0"/>
        <w:spacing w:line="348" w:lineRule="auto"/>
        <w:ind w:firstLine="720" w:firstLineChars="300"/>
        <w:rPr>
          <w:rFonts w:hint="eastAsia" w:ascii="宋体" w:hAnsi="宋体" w:eastAsia="宋体" w:cs="宋体"/>
          <w:sz w:val="24"/>
          <w:highlight w:val="none"/>
        </w:rPr>
      </w:pPr>
    </w:p>
    <w:p w14:paraId="6C75397D">
      <w:pPr>
        <w:snapToGrid w:val="0"/>
        <w:spacing w:line="348" w:lineRule="auto"/>
        <w:jc w:val="center"/>
        <w:rPr>
          <w:rFonts w:hint="eastAsia" w:ascii="宋体" w:hAnsi="宋体" w:eastAsia="宋体" w:cs="宋体"/>
          <w:sz w:val="24"/>
          <w:highlight w:val="none"/>
        </w:rPr>
      </w:pPr>
      <w:r>
        <w:rPr>
          <w:rFonts w:hint="eastAsia" w:ascii="宋体" w:hAnsi="宋体" w:eastAsia="宋体" w:cs="宋体"/>
          <w:b/>
          <w:bCs/>
          <w:sz w:val="36"/>
          <w:szCs w:val="36"/>
          <w:highlight w:val="none"/>
        </w:rPr>
        <w:br w:type="page"/>
      </w:r>
      <w:r>
        <w:rPr>
          <w:rFonts w:hint="eastAsia" w:ascii="宋体" w:hAnsi="宋体" w:eastAsia="宋体" w:cs="宋体"/>
          <w:b/>
          <w:bCs/>
          <w:sz w:val="36"/>
          <w:szCs w:val="36"/>
          <w:highlight w:val="none"/>
        </w:rPr>
        <w:t>第二章 投标须知</w:t>
      </w:r>
    </w:p>
    <w:p w14:paraId="0E303ED6">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一、说明</w:t>
      </w:r>
    </w:p>
    <w:p w14:paraId="5D6837B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1.本招标文件仅适用于</w:t>
      </w:r>
      <w:r>
        <w:rPr>
          <w:rFonts w:hint="eastAsia" w:ascii="宋体" w:hAnsi="宋体" w:eastAsia="宋体" w:cs="宋体"/>
          <w:kern w:val="0"/>
          <w:sz w:val="24"/>
          <w:highlight w:val="none"/>
        </w:rPr>
        <w:t>本次公开</w:t>
      </w:r>
      <w:r>
        <w:rPr>
          <w:rFonts w:hint="eastAsia" w:ascii="宋体" w:hAnsi="宋体" w:eastAsia="宋体" w:cs="宋体"/>
          <w:sz w:val="24"/>
          <w:highlight w:val="none"/>
        </w:rPr>
        <w:t>招标活动。</w:t>
      </w:r>
    </w:p>
    <w:p w14:paraId="5F04689F">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2.公开招标活动及因本次招标产生的合同受中国法律制约和保护。</w:t>
      </w:r>
    </w:p>
    <w:p w14:paraId="51C17C6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3.招标文件的解释权属于</w:t>
      </w:r>
      <w:r>
        <w:rPr>
          <w:rFonts w:hint="eastAsia" w:ascii="宋体" w:hAnsi="宋体" w:eastAsia="宋体" w:cs="宋体"/>
          <w:kern w:val="0"/>
          <w:sz w:val="24"/>
          <w:highlight w:val="none"/>
        </w:rPr>
        <w:t>招标人</w:t>
      </w:r>
      <w:r>
        <w:rPr>
          <w:rFonts w:hint="eastAsia" w:ascii="宋体" w:hAnsi="宋体" w:eastAsia="宋体" w:cs="宋体"/>
          <w:sz w:val="24"/>
          <w:highlight w:val="none"/>
        </w:rPr>
        <w:t>。</w:t>
      </w:r>
    </w:p>
    <w:p w14:paraId="62232C7D">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4.投标人在知道或应当知道本项目招标公告及招标文件中的所有内容：如内容或页码短缺、资格要求和技术参数出现倾向性或排他性等表述的，</w:t>
      </w:r>
      <w:r>
        <w:rPr>
          <w:rFonts w:hint="eastAsia" w:ascii="宋体" w:hAnsi="宋体" w:eastAsia="宋体" w:cs="宋体"/>
          <w:b/>
          <w:sz w:val="24"/>
          <w:highlight w:val="none"/>
        </w:rPr>
        <w:t>应在提交投标文件截止时间</w:t>
      </w: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天前提出询问或以书面实名制形式质疑；</w:t>
      </w:r>
      <w:r>
        <w:rPr>
          <w:rFonts w:hint="eastAsia" w:ascii="宋体" w:hAnsi="宋体" w:eastAsia="宋体" w:cs="宋体"/>
          <w:sz w:val="24"/>
          <w:highlight w:val="none"/>
        </w:rPr>
        <w:t>未提出询问、质疑或未在规定期间内提出询问、质疑的，视作投标人接受本项目招标公告及招标文件中的全部内容；投标人不得在招标活动期间及招标结束后对本项目招标公告及招标文件中的所有内容质疑、投诉。</w:t>
      </w:r>
      <w:r>
        <w:rPr>
          <w:rFonts w:hint="eastAsia" w:ascii="宋体" w:hAnsi="宋体" w:eastAsia="宋体" w:cs="宋体"/>
          <w:b/>
          <w:bCs/>
          <w:sz w:val="24"/>
          <w:highlight w:val="none"/>
        </w:rPr>
        <w:t>非书面形式的不作为日后质疑提出的依据。</w:t>
      </w:r>
    </w:p>
    <w:p w14:paraId="2C364C5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5.投标人应认真审阅招标文件中所有的事项、格式、条款和规范要求等，如果投标人没有按照招标文件要求提交投标文件，或者投标文件没有对招标文件作出实质性响应，将被拒绝参与投标。</w:t>
      </w:r>
    </w:p>
    <w:p w14:paraId="5766F3C7">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6.招标文件项目需求提供的可能</w:t>
      </w:r>
      <w:r>
        <w:rPr>
          <w:rFonts w:hint="eastAsia" w:ascii="宋体" w:hAnsi="宋体" w:eastAsia="宋体" w:cs="宋体"/>
          <w:sz w:val="24"/>
          <w:highlight w:val="none"/>
          <w:lang w:eastAsia="zh-CN"/>
        </w:rPr>
        <w:t>涉及</w:t>
      </w:r>
      <w:r>
        <w:rPr>
          <w:rFonts w:hint="eastAsia" w:ascii="宋体" w:hAnsi="宋体" w:eastAsia="宋体" w:cs="宋体"/>
          <w:sz w:val="24"/>
          <w:highlight w:val="none"/>
        </w:rPr>
        <w:t>的工艺、材料、设备、商标、样本、技术规范、参数规格、品牌等，仅作为说明并没有限制性，投标人在投标中可以选用替代标准，但这些替代的品牌、产品技术标准要优于或相当于项目需求技术规格中要求的标准，以满足招标人的需要。</w:t>
      </w:r>
    </w:p>
    <w:p w14:paraId="0CD8475A">
      <w:pPr>
        <w:snapToGrid w:val="0"/>
        <w:spacing w:line="44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7.本招标文件内所称的“以上”“以下”“内”“以内”，包括本数；所称的“不足”“少于”，不包括本数。</w:t>
      </w:r>
    </w:p>
    <w:p w14:paraId="0BC25C08">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二、招标文件的补充说明、澄清、修改、答疑</w:t>
      </w:r>
    </w:p>
    <w:p w14:paraId="450FA4C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1.代理机构有权对发出的招标文件进行必要的补充说明、澄清或修改。</w:t>
      </w:r>
    </w:p>
    <w:p w14:paraId="3FB408FA">
      <w:pPr>
        <w:snapToGrid w:val="0"/>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2.招标文件的澄清、修改、补充等内容均以书面明确的形式发布，且以在“南通圆宏控股集团有限公司集团官网－公告公示－招标投标版块”发布的信息为准。</w:t>
      </w:r>
    </w:p>
    <w:p w14:paraId="22149E34">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3.代理机构对招标文件的补充说明、澄清或修改，将构成招标文件的一部分，对投标人具有约束力。</w:t>
      </w:r>
    </w:p>
    <w:p w14:paraId="0AA3760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4.补充说明、澄清或修改的内容可能影响响应文件编制的，代理机构将在投标截止时间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5日前，发布补充说明、澄清或修改公告，不足</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5日的，应当顺延提交投标文件的截止时间。</w:t>
      </w:r>
    </w:p>
    <w:p w14:paraId="6FE4370C">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5.除非代理机构以书面的形式对招标文件作出澄清、修改及补充，投标人对涉及招标文件的任何推论、理解和结论所造成的结果，均由投标人自负。</w:t>
      </w:r>
    </w:p>
    <w:p w14:paraId="5894029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6.招标人视情组织答疑会。如有产生答疑</w:t>
      </w:r>
      <w:r>
        <w:rPr>
          <w:rFonts w:hint="eastAsia" w:ascii="宋体" w:hAnsi="宋体" w:eastAsia="宋体" w:cs="宋体"/>
          <w:sz w:val="24"/>
          <w:highlight w:val="none"/>
          <w:lang w:eastAsia="zh-CN"/>
        </w:rPr>
        <w:t>并</w:t>
      </w:r>
      <w:r>
        <w:rPr>
          <w:rFonts w:hint="eastAsia" w:ascii="宋体" w:hAnsi="宋体" w:eastAsia="宋体" w:cs="宋体"/>
          <w:sz w:val="24"/>
          <w:highlight w:val="none"/>
        </w:rPr>
        <w:t>对招标文件内容有修改，代理机构将按照本须知有关规定，以补充通知（公告）的方式发出。</w:t>
      </w:r>
    </w:p>
    <w:p w14:paraId="2A6F4EC8">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bCs/>
          <w:sz w:val="24"/>
          <w:highlight w:val="none"/>
        </w:rPr>
        <w:t>三</w:t>
      </w:r>
      <w:r>
        <w:rPr>
          <w:rFonts w:hint="eastAsia" w:ascii="宋体" w:hAnsi="宋体" w:eastAsia="宋体" w:cs="宋体"/>
          <w:b/>
          <w:sz w:val="24"/>
          <w:highlight w:val="none"/>
        </w:rPr>
        <w:t>、投标文件的组成及装订</w:t>
      </w:r>
    </w:p>
    <w:p w14:paraId="32C7A335">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1.投标文件由：</w:t>
      </w:r>
      <w:r>
        <w:rPr>
          <w:rFonts w:hint="eastAsia" w:ascii="宋体" w:hAnsi="宋体" w:cs="宋体"/>
          <w:b/>
          <w:bCs/>
          <w:sz w:val="24"/>
          <w:highlight w:val="none"/>
        </w:rPr>
        <w:t>①资格审查文件、②技术标、③</w:t>
      </w:r>
      <w:r>
        <w:rPr>
          <w:rFonts w:hint="eastAsia" w:ascii="宋体" w:hAnsi="宋体" w:cs="宋体"/>
          <w:b/>
          <w:bCs/>
          <w:sz w:val="24"/>
          <w:highlight w:val="none"/>
          <w:lang w:eastAsia="zh-CN"/>
        </w:rPr>
        <w:t>商务标</w:t>
      </w:r>
      <w:r>
        <w:rPr>
          <w:rFonts w:hint="eastAsia" w:ascii="宋体" w:hAnsi="宋体" w:cs="宋体"/>
          <w:b/>
          <w:bCs/>
          <w:sz w:val="24"/>
          <w:highlight w:val="none"/>
        </w:rPr>
        <w:t>共三部分组成（以下由文件序号代称）</w:t>
      </w:r>
      <w:r>
        <w:rPr>
          <w:rFonts w:hint="eastAsia" w:ascii="宋体" w:hAnsi="宋体" w:eastAsia="宋体" w:cs="宋体"/>
          <w:b/>
          <w:bCs/>
          <w:sz w:val="24"/>
          <w:highlight w:val="none"/>
        </w:rPr>
        <w:t>。</w:t>
      </w:r>
    </w:p>
    <w:p w14:paraId="55464DBE">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投标人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或盖章）并加盖公章。</w:t>
      </w:r>
    </w:p>
    <w:p w14:paraId="5684BEA5">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rPr>
        <w:t>投标文件的 “资格审查文件”“技术标”“</w:t>
      </w:r>
      <w:r>
        <w:rPr>
          <w:rFonts w:hint="eastAsia" w:ascii="宋体" w:hAnsi="宋体" w:cs="宋体"/>
          <w:b/>
          <w:bCs/>
          <w:sz w:val="24"/>
          <w:highlight w:val="none"/>
          <w:lang w:eastAsia="zh-CN"/>
        </w:rPr>
        <w:t>商务标</w:t>
      </w:r>
      <w:r>
        <w:rPr>
          <w:rFonts w:hint="eastAsia" w:ascii="宋体" w:hAnsi="宋体" w:cs="宋体"/>
          <w:b/>
          <w:bCs/>
          <w:sz w:val="24"/>
          <w:highlight w:val="none"/>
        </w:rPr>
        <w:t>”各自装订成册。特别提示：“</w:t>
      </w:r>
      <w:r>
        <w:rPr>
          <w:rFonts w:hint="eastAsia" w:ascii="宋体" w:hAnsi="宋体" w:cs="宋体"/>
          <w:b/>
          <w:bCs/>
          <w:sz w:val="24"/>
          <w:highlight w:val="none"/>
          <w:lang w:eastAsia="zh-CN"/>
        </w:rPr>
        <w:t>商务标</w:t>
      </w:r>
      <w:r>
        <w:rPr>
          <w:rFonts w:hint="eastAsia" w:ascii="宋体" w:hAnsi="宋体" w:cs="宋体"/>
          <w:b/>
          <w:bCs/>
          <w:sz w:val="24"/>
          <w:highlight w:val="none"/>
        </w:rPr>
        <w:t>”必须单独装订和封装，不得出现在“资格审查文件”和“技术标”之中，否则作无效投标处理。</w:t>
      </w:r>
    </w:p>
    <w:p w14:paraId="44042E27">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五、投标文件的份数、签署和退还</w:t>
      </w:r>
    </w:p>
    <w:p w14:paraId="2CE18E78">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1.投标人应准备</w:t>
      </w:r>
      <w:r>
        <w:rPr>
          <w:rFonts w:hint="eastAsia" w:ascii="宋体" w:hAnsi="宋体" w:eastAsia="宋体" w:cs="宋体"/>
          <w:b/>
          <w:bCs/>
          <w:sz w:val="24"/>
          <w:highlight w:val="none"/>
          <w:u w:val="single"/>
        </w:rPr>
        <w:t xml:space="preserve"> 叁 </w:t>
      </w:r>
      <w:r>
        <w:rPr>
          <w:rFonts w:hint="eastAsia" w:ascii="宋体" w:hAnsi="宋体" w:eastAsia="宋体" w:cs="宋体"/>
          <w:b/>
          <w:bCs/>
          <w:sz w:val="24"/>
          <w:highlight w:val="none"/>
        </w:rPr>
        <w:t>份完整的纸质投标文件，其中正本</w:t>
      </w:r>
      <w:r>
        <w:rPr>
          <w:rFonts w:hint="eastAsia" w:ascii="宋体" w:hAnsi="宋体" w:eastAsia="宋体" w:cs="宋体"/>
          <w:b/>
          <w:bCs/>
          <w:sz w:val="24"/>
          <w:highlight w:val="none"/>
          <w:u w:val="single"/>
        </w:rPr>
        <w:t xml:space="preserve"> 壹 </w:t>
      </w:r>
      <w:r>
        <w:rPr>
          <w:rFonts w:hint="eastAsia" w:ascii="宋体" w:hAnsi="宋体" w:eastAsia="宋体" w:cs="宋体"/>
          <w:b/>
          <w:bCs/>
          <w:sz w:val="24"/>
          <w:highlight w:val="none"/>
        </w:rPr>
        <w:t>份，副本</w:t>
      </w:r>
      <w:r>
        <w:rPr>
          <w:rFonts w:hint="eastAsia" w:ascii="宋体" w:hAnsi="宋体" w:eastAsia="宋体" w:cs="宋体"/>
          <w:b/>
          <w:bCs/>
          <w:sz w:val="24"/>
          <w:highlight w:val="none"/>
          <w:u w:val="single"/>
        </w:rPr>
        <w:t xml:space="preserve"> 贰 </w:t>
      </w:r>
      <w:r>
        <w:rPr>
          <w:rFonts w:hint="eastAsia" w:ascii="宋体" w:hAnsi="宋体" w:eastAsia="宋体" w:cs="宋体"/>
          <w:b/>
          <w:bCs/>
          <w:sz w:val="24"/>
          <w:highlight w:val="none"/>
        </w:rPr>
        <w:t>份，并标明“正本”或“副本”字样，若有差异，概以“正本”为准。</w:t>
      </w:r>
    </w:p>
    <w:p w14:paraId="70CFF853">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2.投标文件分</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册密封。第一册为“资格审查文件”，</w:t>
      </w:r>
      <w:r>
        <w:rPr>
          <w:rFonts w:hint="eastAsia" w:ascii="宋体" w:hAnsi="宋体"/>
          <w:b/>
          <w:bCs/>
          <w:sz w:val="24"/>
          <w:highlight w:val="none"/>
        </w:rPr>
        <w:t>第二册为“技术标”，</w:t>
      </w: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册为“</w:t>
      </w:r>
      <w:r>
        <w:rPr>
          <w:rFonts w:hint="eastAsia" w:ascii="宋体" w:hAnsi="宋体" w:eastAsia="宋体" w:cs="宋体"/>
          <w:b/>
          <w:bCs/>
          <w:sz w:val="24"/>
          <w:highlight w:val="none"/>
          <w:lang w:eastAsia="zh-CN"/>
        </w:rPr>
        <w:t>商务标</w:t>
      </w:r>
      <w:r>
        <w:rPr>
          <w:rFonts w:hint="eastAsia" w:ascii="宋体" w:hAnsi="宋体" w:eastAsia="宋体" w:cs="宋体"/>
          <w:b/>
          <w:bCs/>
          <w:sz w:val="24"/>
          <w:highlight w:val="none"/>
        </w:rPr>
        <w:t>”，投标文件的第一册、第二册</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第三册</w:t>
      </w:r>
      <w:r>
        <w:rPr>
          <w:rFonts w:hint="eastAsia" w:ascii="宋体" w:hAnsi="宋体" w:eastAsia="宋体" w:cs="宋体"/>
          <w:b/>
          <w:bCs/>
          <w:sz w:val="24"/>
          <w:highlight w:val="none"/>
        </w:rPr>
        <w:t>应分别密封，并在封袋上标明“资格审查文件”</w:t>
      </w:r>
      <w:r>
        <w:rPr>
          <w:rFonts w:hint="eastAsia" w:ascii="宋体" w:hAnsi="宋体"/>
          <w:b/>
          <w:bCs/>
          <w:sz w:val="24"/>
          <w:highlight w:val="none"/>
        </w:rPr>
        <w:t>“技术标”</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商务标</w:t>
      </w:r>
      <w:r>
        <w:rPr>
          <w:rFonts w:hint="eastAsia" w:ascii="宋体" w:hAnsi="宋体" w:eastAsia="宋体" w:cs="宋体"/>
          <w:b/>
          <w:bCs/>
          <w:sz w:val="24"/>
          <w:highlight w:val="none"/>
        </w:rPr>
        <w:t>”。</w:t>
      </w:r>
    </w:p>
    <w:p w14:paraId="40ABA516">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3.投标人可将投标文件正、副本统一密封或分别密封，如正本和副本分别密封的，应在封袋上标明正、副本字样。</w:t>
      </w:r>
    </w:p>
    <w:p w14:paraId="26CAE23E">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4.投标文件正本须按招标文件要求由法定代表人或被授权人签字或盖章并加盖印章。副本可复印，但须加盖投标人印章。  </w:t>
      </w:r>
    </w:p>
    <w:p w14:paraId="257F6A6A">
      <w:pPr>
        <w:snapToGrid w:val="0"/>
        <w:spacing w:line="440" w:lineRule="exact"/>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5.开标程序顺利进行后，所有投标文件都将作为档案保存，不论中标与否，代理机构均不退回（未拆封的除外）。</w:t>
      </w:r>
    </w:p>
    <w:p w14:paraId="2A285FB3">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六、投标文件的密封及标记</w:t>
      </w:r>
    </w:p>
    <w:p w14:paraId="11A509B2">
      <w:pPr>
        <w:snapToGrid w:val="0"/>
        <w:spacing w:line="440" w:lineRule="exact"/>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密封后，应在每一密封包的投标文件上明确标注投标项目名称、投标文件各自对应的名称、投标人全称及日期，同时加盖投标人公章。</w:t>
      </w:r>
    </w:p>
    <w:p w14:paraId="79965B52">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七、投标文件的有效期</w:t>
      </w:r>
    </w:p>
    <w:p w14:paraId="7BFA4B6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1.从投标文件接收截止之日算起，</w:t>
      </w:r>
      <w:r>
        <w:rPr>
          <w:rFonts w:hint="eastAsia" w:ascii="宋体" w:hAnsi="宋体" w:eastAsia="宋体" w:cs="宋体"/>
          <w:b/>
          <w:sz w:val="24"/>
          <w:highlight w:val="none"/>
        </w:rPr>
        <w:t>45</w:t>
      </w:r>
      <w:r>
        <w:rPr>
          <w:rFonts w:hint="eastAsia" w:ascii="宋体" w:hAnsi="宋体" w:eastAsia="宋体" w:cs="宋体"/>
          <w:sz w:val="24"/>
          <w:highlight w:val="none"/>
        </w:rPr>
        <w:t>个“日历天”内投标书应保持有效。有效期短于这个规定期限的，投标将被拒绝。</w:t>
      </w:r>
    </w:p>
    <w:p w14:paraId="5933C97E">
      <w:pPr>
        <w:snapToGrid w:val="0"/>
        <w:spacing w:line="440" w:lineRule="exact"/>
        <w:ind w:firstLine="480" w:firstLineChars="200"/>
        <w:outlineLvl w:val="1"/>
        <w:rPr>
          <w:rFonts w:hint="eastAsia" w:ascii="宋体" w:hAnsi="宋体" w:eastAsia="宋体" w:cs="宋体"/>
          <w:b/>
          <w:sz w:val="24"/>
          <w:highlight w:val="none"/>
        </w:rPr>
      </w:pPr>
      <w:r>
        <w:rPr>
          <w:rFonts w:hint="eastAsia" w:ascii="宋体" w:hAnsi="宋体" w:eastAsia="宋体" w:cs="宋体"/>
          <w:sz w:val="24"/>
          <w:highlight w:val="none"/>
        </w:rPr>
        <w:t>2.在特殊情况下，招标代理机构可与投标人协商延长投标书的有效期。这种要求和答复都应以书面、传真</w:t>
      </w:r>
      <w:r>
        <w:rPr>
          <w:rFonts w:hint="eastAsia" w:ascii="宋体" w:hAnsi="宋体" w:eastAsia="宋体" w:cs="宋体"/>
          <w:sz w:val="24"/>
          <w:highlight w:val="none"/>
          <w:lang w:eastAsia="zh-CN"/>
        </w:rPr>
        <w:t>、</w:t>
      </w:r>
      <w:r>
        <w:rPr>
          <w:rFonts w:hint="eastAsia" w:ascii="宋体" w:hAnsi="宋体" w:eastAsia="宋体" w:cs="宋体"/>
          <w:sz w:val="24"/>
          <w:highlight w:val="none"/>
        </w:rPr>
        <w:t>电报的形式进行。同意延长有效期的投标人不能修改投标文件，按本招标文件规定的投标保证金的有效期也相应延长。拒绝接受延期要求的投标人的投标书将被拒绝。</w:t>
      </w:r>
    </w:p>
    <w:p w14:paraId="1342BCF8">
      <w:pPr>
        <w:tabs>
          <w:tab w:val="center" w:pos="5071"/>
        </w:tabs>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八、投标报价</w:t>
      </w:r>
      <w:r>
        <w:rPr>
          <w:rFonts w:hint="eastAsia" w:ascii="宋体" w:hAnsi="宋体" w:eastAsia="宋体" w:cs="宋体"/>
          <w:b/>
          <w:bCs/>
          <w:sz w:val="24"/>
          <w:highlight w:val="none"/>
        </w:rPr>
        <w:tab/>
      </w:r>
    </w:p>
    <w:p w14:paraId="5F061D6B">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1.本项目不接受任何有选择的报价。</w:t>
      </w:r>
    </w:p>
    <w:p w14:paraId="50933A59">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2.投标报价均以人民币为报价的币种。</w:t>
      </w:r>
    </w:p>
    <w:p w14:paraId="7FC8677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3.投标函必须加盖投标人公章且必须经法定代表人或被授权人签字或盖章。</w:t>
      </w:r>
    </w:p>
    <w:p w14:paraId="3FB44C4F">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4.报价出现前后不一致的，按照下列规定修正：</w:t>
      </w:r>
    </w:p>
    <w:p w14:paraId="1781EC15">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（1）投标文件中投标函内容与投标文件技术响应中内容明细不一致的，以投标函为准；</w:t>
      </w:r>
    </w:p>
    <w:p w14:paraId="47B890F6">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（2）投标文件中涉及大写金额和小写金额不一致的，以大写金额为准；</w:t>
      </w:r>
    </w:p>
    <w:p w14:paraId="3DB9B626">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（3）单价金额小数点或者百分比有明显错位的，以投标函的总价为准，并修改单价；</w:t>
      </w:r>
    </w:p>
    <w:p w14:paraId="268B9B3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（4）总价金额与按单价汇总金额不一致的，以单价金额计算结果为准。</w:t>
      </w:r>
    </w:p>
    <w:p w14:paraId="2EFCF165">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同时出现两种以上不一致的，按照前款规定的顺序修正。修正后的报价应当由投标人的法定代表人或其被授权人签字确认后产生约束力，投标人不确认的，其投标无效。</w:t>
      </w:r>
    </w:p>
    <w:p w14:paraId="48F06059">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b/>
          <w:bCs/>
          <w:sz w:val="24"/>
          <w:highlight w:val="none"/>
        </w:rPr>
        <w:t>投标报价包含但不限于所有服务人员基础工资、延时加班费、节假日加班费、社保费用及必要的工伤保险、法定高温费、</w:t>
      </w:r>
      <w:r>
        <w:rPr>
          <w:rFonts w:hint="eastAsia" w:ascii="宋体" w:hAnsi="宋体" w:eastAsia="宋体" w:cs="宋体"/>
          <w:b/>
          <w:bCs/>
          <w:sz w:val="24"/>
          <w:highlight w:val="none"/>
          <w:lang w:val="en-US" w:eastAsia="zh-CN"/>
        </w:rPr>
        <w:t>服装费及</w:t>
      </w:r>
      <w:r>
        <w:rPr>
          <w:rFonts w:hint="eastAsia" w:ascii="宋体" w:hAnsi="宋体" w:eastAsia="宋体" w:cs="宋体"/>
          <w:b/>
          <w:bCs/>
          <w:sz w:val="24"/>
          <w:highlight w:val="none"/>
        </w:rPr>
        <w:t>装备费、税费等，即本采购项目实施的所有费用以及包含响应招标文件采购要求的所有费用，并承诺达到招标单位要求的一切费用。各投标人应根据招标文件要求，并充分考虑市场，自行核算成本报价。</w:t>
      </w:r>
    </w:p>
    <w:p w14:paraId="20F38C0D">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.本次公开招标项目仅为一次报价。各投标人在投标报价时应综合考虑各方面因素，本项目无论合同履行期间的市场风险、人工工资调整和国家政策性风险等均不另外计取任何费用，不进行任何调整。</w:t>
      </w:r>
    </w:p>
    <w:p w14:paraId="5B79ACA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.招标人有权根据项目进展情况及工作需求，要求中标人适时增加相关人员，但服务费用不予增加。</w:t>
      </w:r>
    </w:p>
    <w:p w14:paraId="51520AB8">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.除非因特殊原因并经双方协商同意，中标的投标人（以下称中标人）不得再要求追加任何费用。同时，除非合同条款中另有规定，否则，中标人的中标单价在合同实施期间不因市场变化因素而变动。</w:t>
      </w:r>
    </w:p>
    <w:p w14:paraId="66703C89">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9.投标人应详细阅读招标文件的全部内容，准确制定相关工作方案等，必须对本项目全部进行报价，如有漏项，视同对本项目的优惠。不按招标文件的要求提供投标文件，导致报价无效，按无效投标处理。</w:t>
      </w:r>
    </w:p>
    <w:p w14:paraId="31190A6D">
      <w:pPr>
        <w:snapToGrid w:val="0"/>
        <w:spacing w:line="440" w:lineRule="exact"/>
        <w:ind w:firstLine="482" w:firstLineChars="200"/>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九、</w:t>
      </w:r>
      <w:r>
        <w:rPr>
          <w:rFonts w:hint="eastAsia" w:ascii="宋体" w:hAnsi="宋体" w:eastAsia="宋体" w:cs="宋体"/>
          <w:b/>
          <w:bCs/>
          <w:sz w:val="24"/>
          <w:highlight w:val="none"/>
          <w:lang w:val="en-US" w:eastAsia="zh-CN"/>
        </w:rPr>
        <w:t>投标保证金</w:t>
      </w:r>
    </w:p>
    <w:p w14:paraId="34BC7056">
      <w:pPr>
        <w:snapToGrid w:val="0"/>
        <w:spacing w:line="440" w:lineRule="exact"/>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1.本项目投标保证金：免收。</w:t>
      </w:r>
    </w:p>
    <w:p w14:paraId="71E06510">
      <w:pPr>
        <w:snapToGrid w:val="0"/>
        <w:spacing w:line="440" w:lineRule="exact"/>
        <w:ind w:firstLine="482" w:firstLineChars="200"/>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十、投标费用</w:t>
      </w:r>
    </w:p>
    <w:p w14:paraId="21D7E8B2">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1.无论招标过程和结</w:t>
      </w:r>
      <w:r>
        <w:rPr>
          <w:rFonts w:hint="eastAsia" w:ascii="宋体" w:hAnsi="宋体" w:eastAsia="宋体" w:cs="宋体"/>
          <w:sz w:val="24"/>
          <w:highlight w:val="none"/>
        </w:rPr>
        <w:t xml:space="preserve">果如何，投标人自行承担与本次项目招标有关的全部费用。投标人承担参与投标可能发生的全部费用，招标人在任何情况下均无义务和责任承担这些费用。 </w:t>
      </w:r>
    </w:p>
    <w:p w14:paraId="0E5A7333">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2.本项目的招标代理服务费2180元及</w:t>
      </w:r>
      <w:r>
        <w:rPr>
          <w:rFonts w:hint="eastAsia" w:ascii="宋体" w:hAnsi="宋体" w:eastAsia="宋体" w:cs="宋体"/>
          <w:sz w:val="24"/>
          <w:highlight w:val="none"/>
          <w:lang w:val="en-US" w:eastAsia="zh-CN"/>
        </w:rPr>
        <w:t>其他费用（按实计取）</w:t>
      </w:r>
      <w:r>
        <w:rPr>
          <w:rFonts w:hint="eastAsia" w:ascii="宋体" w:hAnsi="宋体" w:eastAsia="宋体" w:cs="宋体"/>
          <w:sz w:val="24"/>
          <w:highlight w:val="none"/>
        </w:rPr>
        <w:t>由中标人承担，故各投标人须将上述费用考虑在报价中，但无需单列。中标人应在领取中标通知书前向招标代理公司一次性缴清上述费用。</w:t>
      </w:r>
    </w:p>
    <w:p w14:paraId="4953C1E2">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十一、投标文件递交时间及地址</w:t>
      </w:r>
    </w:p>
    <w:p w14:paraId="2D5495F4">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投标人必须在规定的时间将投标文件送达指定地点。招标人将拒绝接收在截止时间后递交的投标文件。</w:t>
      </w:r>
    </w:p>
    <w:p w14:paraId="7CA3D899">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十二、履约保证金</w:t>
      </w:r>
    </w:p>
    <w:p w14:paraId="12315C29">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1.本项目中标后的履约保证金</w:t>
      </w:r>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u w:val="single"/>
        </w:rPr>
        <w:t>中标价的10%</w:t>
      </w:r>
      <w:r>
        <w:rPr>
          <w:rFonts w:hint="eastAsia" w:ascii="宋体" w:hAnsi="宋体" w:eastAsia="宋体" w:cs="宋体"/>
          <w:color w:val="auto"/>
          <w:sz w:val="24"/>
          <w:highlight w:val="none"/>
        </w:rPr>
        <w:t>。</w:t>
      </w:r>
    </w:p>
    <w:p w14:paraId="4C81A62D">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2.中标人的履约保证缴纳形式为</w:t>
      </w:r>
      <w:r>
        <w:rPr>
          <w:rFonts w:hint="eastAsia" w:ascii="宋体" w:hAnsi="宋体" w:eastAsia="宋体" w:cs="宋体"/>
          <w:b/>
          <w:bCs/>
          <w:color w:val="auto"/>
          <w:sz w:val="24"/>
          <w:highlight w:val="none"/>
          <w:u w:val="single"/>
        </w:rPr>
        <w:t>银行转账</w:t>
      </w:r>
      <w:r>
        <w:rPr>
          <w:rFonts w:hint="eastAsia" w:ascii="宋体" w:hAnsi="宋体" w:eastAsia="宋体" w:cs="宋体"/>
          <w:b/>
          <w:bCs/>
          <w:color w:val="auto"/>
          <w:sz w:val="24"/>
          <w:highlight w:val="none"/>
        </w:rPr>
        <w:t>。</w:t>
      </w:r>
    </w:p>
    <w:p w14:paraId="347F1D6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3.合同期满或提前解除后，在</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撤场并办理完毕交接手续且</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无任何违约责任的情况下，</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将扣除相关费用、违约金之后的剩余保证金无息退还给</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 xml:space="preserve">。 </w:t>
      </w:r>
    </w:p>
    <w:p w14:paraId="721BA75A">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4.由于中标人原因，在签订合同后出现不按合同履行的情况，招标人有权将履约保证金作为违约金，全额不予退还，同时招标人亦有权终止合同，中标人还须承担相应的法律赔偿责任。</w:t>
      </w:r>
    </w:p>
    <w:p w14:paraId="0C2D11D1">
      <w:pPr>
        <w:snapToGrid w:val="0"/>
        <w:spacing w:line="440" w:lineRule="exact"/>
        <w:ind w:firstLine="482" w:firstLineChars="200"/>
        <w:rPr>
          <w:rFonts w:hint="eastAsia" w:ascii="宋体" w:hAnsi="宋体" w:eastAsia="宋体" w:cs="宋体"/>
          <w:kern w:val="0"/>
          <w:sz w:val="24"/>
          <w:highlight w:val="none"/>
        </w:rPr>
      </w:pPr>
      <w:r>
        <w:rPr>
          <w:rFonts w:hint="eastAsia" w:ascii="宋体" w:hAnsi="宋体" w:eastAsia="宋体" w:cs="宋体"/>
          <w:b/>
          <w:sz w:val="24"/>
          <w:highlight w:val="none"/>
        </w:rPr>
        <w:t>十三、付款方式：</w:t>
      </w:r>
      <w:r>
        <w:rPr>
          <w:rFonts w:hint="eastAsia" w:ascii="宋体" w:hAnsi="宋体" w:eastAsia="宋体" w:cs="宋体"/>
          <w:kern w:val="0"/>
          <w:sz w:val="24"/>
          <w:highlight w:val="none"/>
        </w:rPr>
        <w:t>详见本招标文件《第五章 合同主要条款》。</w:t>
      </w:r>
    </w:p>
    <w:p w14:paraId="6FDE474A">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十四、未尽事宜</w:t>
      </w:r>
    </w:p>
    <w:bookmarkEnd w:id="1"/>
    <w:p w14:paraId="4D398842">
      <w:pPr>
        <w:snapToGrid w:val="0"/>
        <w:spacing w:line="440" w:lineRule="exact"/>
        <w:ind w:firstLine="480" w:firstLineChars="200"/>
        <w:rPr>
          <w:rFonts w:hint="eastAsia" w:ascii="宋体" w:hAnsi="宋体" w:eastAsia="宋体" w:cs="宋体"/>
          <w:sz w:val="24"/>
          <w:highlight w:val="none"/>
        </w:rPr>
      </w:pPr>
      <w:bookmarkStart w:id="32" w:name="_Toc182848971"/>
      <w:r>
        <w:rPr>
          <w:rFonts w:hint="eastAsia" w:ascii="宋体" w:hAnsi="宋体" w:eastAsia="宋体" w:cs="宋体"/>
          <w:sz w:val="24"/>
          <w:highlight w:val="none"/>
        </w:rPr>
        <w:t>参照《中华人民共和国招标投标法》及有关法律法规的规定执行。</w:t>
      </w:r>
    </w:p>
    <w:p w14:paraId="531FD54E">
      <w:pPr>
        <w:tabs>
          <w:tab w:val="left" w:pos="1050"/>
          <w:tab w:val="right" w:leader="dot" w:pos="9402"/>
        </w:tabs>
        <w:spacing w:before="468" w:beforeLines="150" w:line="320" w:lineRule="exact"/>
        <w:jc w:val="center"/>
        <w:outlineLvl w:val="0"/>
        <w:rPr>
          <w:rFonts w:hint="eastAsia" w:ascii="宋体" w:hAnsi="宋体" w:eastAsia="宋体" w:cs="宋体"/>
          <w:b/>
          <w:bCs/>
          <w:sz w:val="36"/>
          <w:szCs w:val="36"/>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第三章 项目需求</w:t>
      </w:r>
    </w:p>
    <w:p w14:paraId="4124E709">
      <w:pPr>
        <w:keepNext w:val="0"/>
        <w:keepLines w:val="0"/>
        <w:pageBreakBefore w:val="0"/>
        <w:widowControl w:val="0"/>
        <w:numPr>
          <w:ilvl w:val="0"/>
          <w:numId w:val="20"/>
        </w:numPr>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bookmarkStart w:id="33" w:name="_Hlk208924003"/>
      <w:r>
        <w:rPr>
          <w:rFonts w:hint="eastAsia" w:ascii="宋体" w:hAnsi="宋体" w:eastAsia="宋体" w:cs="宋体"/>
          <w:sz w:val="24"/>
          <w:highlight w:val="none"/>
          <w:lang w:val="en-US" w:eastAsia="zh-CN"/>
        </w:rPr>
        <w:t>人员要求</w:t>
      </w:r>
    </w:p>
    <w:p w14:paraId="245A7A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平时不少于28人，高峰期根据业主需求增加。</w:t>
      </w:r>
    </w:p>
    <w:p w14:paraId="1B55CBA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二、其他要求</w:t>
      </w:r>
    </w:p>
    <w:p w14:paraId="4DF268C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（一）卫生保洁：</w:t>
      </w:r>
    </w:p>
    <w:p w14:paraId="7205EA8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包括：室内及房屋公共部位的清洁。如：室内外运动场地、楼梯及楼梯间、电梯间、门厅、走廊通道、户外路面、玻璃门窗、会议室、卫生间、地下停车场、绿化带内杂物的清理及所有设备房。</w:t>
      </w:r>
    </w:p>
    <w:p w14:paraId="5670FD0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（1）地面：</w:t>
      </w:r>
    </w:p>
    <w:p w14:paraId="66FF49C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①每天进行地面清扫，保证室内外运动场地、过道、楼梯及楼梯间、门厅、走廊通道户外路面、会议室、地下停车场地面干净整洁，无垃圾杂物；</w:t>
      </w:r>
    </w:p>
    <w:p w14:paraId="2E38221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②每月使用专业扫拖机器人对两馆（游泳馆、球类综合馆）地面进行清洗，保证地面光泽度；</w:t>
      </w:r>
    </w:p>
    <w:p w14:paraId="16D7EC2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③定期对地面卫生死角（如墙角、地板踢脚线）进行清理。</w:t>
      </w:r>
    </w:p>
    <w:p w14:paraId="3EE0465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（2）墙面：</w:t>
      </w:r>
    </w:p>
    <w:p w14:paraId="3A7763A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①开放场馆主要墙面无明显污渍；</w:t>
      </w:r>
    </w:p>
    <w:p w14:paraId="4E046C8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②消防栓、电灯开关、消防警报器无积尘，无脱落。</w:t>
      </w:r>
    </w:p>
    <w:p w14:paraId="3480C711">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（3）卫生间</w:t>
      </w:r>
    </w:p>
    <w:p w14:paraId="5659BF5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①卫生洁具洁净；</w:t>
      </w:r>
    </w:p>
    <w:p w14:paraId="784525B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②墙面四角保持干燥、无蜘蛛网、地面无脚印、杂物；</w:t>
      </w:r>
    </w:p>
    <w:p w14:paraId="74991E8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③镜面保持明净，无灰尘污痕、手印、水迹；</w:t>
      </w:r>
    </w:p>
    <w:p w14:paraId="3A18A685">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④金属器具保持光亮、无浮灰、水迹、锈斑；</w:t>
      </w:r>
    </w:p>
    <w:p w14:paraId="230304C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⑤游泳馆更衣室及时补充卫生用纸；</w:t>
      </w:r>
    </w:p>
    <w:p w14:paraId="500FCF3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⑥保持卫生间内空气清新。</w:t>
      </w:r>
    </w:p>
    <w:p w14:paraId="7EEE22F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（4）玻璃</w:t>
      </w:r>
    </w:p>
    <w:p w14:paraId="54D0522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①定期清洗玻璃门窗，保证玻璃表面无灰尘、污渍手印、水迹。</w:t>
      </w:r>
    </w:p>
    <w:p w14:paraId="7CE30383">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（5）电梯</w:t>
      </w:r>
    </w:p>
    <w:p w14:paraId="5155C75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①电梯内壁光亮、无手印、污渍；</w:t>
      </w:r>
    </w:p>
    <w:p w14:paraId="762DB50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②电梯地面干净无污渍。</w:t>
      </w:r>
    </w:p>
    <w:p w14:paraId="12AD44A3">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（6）更衣室及泳池</w:t>
      </w:r>
    </w:p>
    <w:p w14:paraId="3462A80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①更衣室内有专人打扫，一般每月清理一次防滑垫；</w:t>
      </w:r>
    </w:p>
    <w:p w14:paraId="2902B81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②泳池内定期清扫，每日有专人打扫吐痰槽。</w:t>
      </w:r>
    </w:p>
    <w:p w14:paraId="293AD5C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（7）每日清运各场馆垃圾</w:t>
      </w:r>
    </w:p>
    <w:p w14:paraId="2C9ECBE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（8）临时任务、大型赛事活动积极做好保洁工作</w:t>
      </w:r>
    </w:p>
    <w:p w14:paraId="07DD1FFB">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（二）设施设备：</w:t>
      </w:r>
    </w:p>
    <w:p w14:paraId="707278D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主要是指除游泳馆水循环设备外的所有设施设备的管理工作，包括但不限于消防、水电暖通、监控设备、弱电通讯设备；空调、电梯等特种设备等。</w:t>
      </w:r>
    </w:p>
    <w:p w14:paraId="20A7F68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（1）确保各项设备运转正常；有运行记录；</w:t>
      </w:r>
    </w:p>
    <w:p w14:paraId="55252DC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（2）确保钥匙、保洁工具等齐全，并有专门的记录；</w:t>
      </w:r>
    </w:p>
    <w:p w14:paraId="593C9A0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（3）确保各项设备正常维保；有维保记录；</w:t>
      </w:r>
    </w:p>
    <w:p w14:paraId="6A25C93A">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（4）消防疏散设备保证运行正常，有日常巡检记录；</w:t>
      </w:r>
    </w:p>
    <w:p w14:paraId="08E149F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（5）安排专人值守监控、安保系统；</w:t>
      </w:r>
    </w:p>
    <w:p w14:paraId="3E22D88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（6）设施设备的基础资料（如管线图、水电图、强弱电布线图等）是否存档；</w:t>
      </w:r>
    </w:p>
    <w:p w14:paraId="1D83804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（7）水电工等专业工种必须持证上岗；</w:t>
      </w:r>
    </w:p>
    <w:p w14:paraId="37904FC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（8）专业技术人员是否定期进行安全培训；</w:t>
      </w:r>
    </w:p>
    <w:p w14:paraId="335338E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（9）临时任务、大型赛事活动积极做好设备配合工作。</w:t>
      </w:r>
    </w:p>
    <w:p w14:paraId="5747CD6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（三）秩序维护：</w:t>
      </w:r>
    </w:p>
    <w:p w14:paraId="61FA448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主要是指室内外场馆的秩序维护、停车管理、志愿消防队、疏散队组建和管理等。</w:t>
      </w:r>
    </w:p>
    <w:p w14:paraId="5472A53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（1）门岗的执勤、巡视到位，遇违章现象及时阻止；</w:t>
      </w:r>
    </w:p>
    <w:p w14:paraId="4C08ADF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（2）防火、灭火措施完备，能确保在紧急情况下组织人员疏散；</w:t>
      </w:r>
    </w:p>
    <w:p w14:paraId="3268208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（3）地下停车场安排专人值守，对于违章现象及时阻止；</w:t>
      </w:r>
    </w:p>
    <w:p w14:paraId="6799DE6B">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（4）保持体育中心安全有序运营（停车管理、人员管理），在暑期高峰运营期设专人在两馆维持秩序；</w:t>
      </w:r>
    </w:p>
    <w:p w14:paraId="5E91256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（5）临时任务、大型赛事活动积极做好秩序维护工作；</w:t>
      </w:r>
    </w:p>
    <w:p w14:paraId="4987224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（6）消防控制室人员必须经培训后持证上岗，熟练操作消控设施设备。公共场所涉及客户隐私，外部人员如需调取监控应由相关部门在场，如无不得随意调取监控；</w:t>
      </w:r>
    </w:p>
    <w:p w14:paraId="66BF466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（7）组建志愿消防队、疏散队并对其进行有效的培训，配合丰宏公司进行一年至少两次的消防疏散应急演习；</w:t>
      </w:r>
    </w:p>
    <w:p w14:paraId="6159408A">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（四）其他</w:t>
      </w:r>
    </w:p>
    <w:p w14:paraId="28FC166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（1）配合做好丰宏公司会务接待工作；</w:t>
      </w:r>
    </w:p>
    <w:p w14:paraId="65F9B61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（2）不得擅自占用和改变公用设施，如需完善或扩建，须与丰宏公司联系协商，经同意后方可实施；</w:t>
      </w:r>
    </w:p>
    <w:p w14:paraId="30472D03">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（3）物业所有人员信息应在丰宏公司进行备案，人员变动需及时更新内容；</w:t>
      </w:r>
    </w:p>
    <w:p w14:paraId="2EDF2F0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（4）员工管理运行符合行政主管部门规定（如电瓶车停放、充电等）。</w:t>
      </w:r>
    </w:p>
    <w:bookmarkEnd w:id="33"/>
    <w:p w14:paraId="0AFABFA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三、其余内容详见合同条款。</w:t>
      </w:r>
    </w:p>
    <w:p w14:paraId="5226F6F4">
      <w:pPr>
        <w:tabs>
          <w:tab w:val="left" w:pos="1050"/>
          <w:tab w:val="right" w:leader="dot" w:pos="9402"/>
        </w:tabs>
        <w:spacing w:before="468" w:beforeLines="150" w:line="320" w:lineRule="exact"/>
        <w:jc w:val="center"/>
        <w:outlineLvl w:val="0"/>
        <w:rPr>
          <w:rFonts w:hint="eastAsia" w:ascii="宋体" w:hAnsi="宋体" w:eastAsia="宋体" w:cs="宋体"/>
          <w:b/>
          <w:bCs/>
          <w:sz w:val="36"/>
          <w:szCs w:val="36"/>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第四章 评标办法</w:t>
      </w:r>
    </w:p>
    <w:p w14:paraId="7E78F311">
      <w:pPr>
        <w:keepNext w:val="0"/>
        <w:keepLines w:val="0"/>
        <w:pageBreakBefore w:val="0"/>
        <w:widowControl/>
        <w:kinsoku/>
        <w:wordWrap/>
        <w:overflowPunct/>
        <w:topLinePunct w:val="0"/>
        <w:bidi w:val="0"/>
        <w:spacing w:line="440" w:lineRule="exact"/>
        <w:ind w:firstLine="482" w:firstLineChars="200"/>
        <w:jc w:val="left"/>
        <w:textAlignment w:val="auto"/>
        <w:outlineLvl w:val="1"/>
        <w:rPr>
          <w:rFonts w:hint="eastAsia" w:ascii="宋体" w:hAnsi="宋体" w:eastAsia="宋体" w:cs="宋体"/>
          <w:sz w:val="24"/>
          <w:highlight w:val="none"/>
        </w:rPr>
      </w:pPr>
      <w:bookmarkStart w:id="34" w:name="_Toc25561"/>
      <w:bookmarkStart w:id="35" w:name="_Toc207717737"/>
      <w:bookmarkStart w:id="36" w:name="_Toc43885670"/>
      <w:bookmarkStart w:id="37" w:name="_Toc119549375"/>
      <w:bookmarkStart w:id="38" w:name="_Toc128361279"/>
      <w:bookmarkStart w:id="39" w:name="_Toc256157453"/>
      <w:bookmarkStart w:id="40" w:name="_Toc119506516"/>
      <w:bookmarkStart w:id="41" w:name="_Toc26517934"/>
      <w:bookmarkStart w:id="42" w:name="_Toc441416731"/>
      <w:r>
        <w:rPr>
          <w:rFonts w:hint="eastAsia" w:ascii="宋体" w:hAnsi="宋体" w:eastAsia="宋体" w:cs="宋体"/>
          <w:b/>
          <w:bCs/>
          <w:sz w:val="24"/>
          <w:highlight w:val="none"/>
        </w:rPr>
        <w:t>一、评标程序</w:t>
      </w:r>
      <w:bookmarkEnd w:id="34"/>
      <w:bookmarkEnd w:id="35"/>
    </w:p>
    <w:p w14:paraId="36137A5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资格评审→</w:t>
      </w:r>
      <w:r>
        <w:rPr>
          <w:rFonts w:hint="eastAsia" w:ascii="宋体" w:hAnsi="宋体" w:cs="宋体"/>
          <w:sz w:val="24"/>
          <w:highlight w:val="none"/>
        </w:rPr>
        <w:t>技术标评审</w:t>
      </w:r>
      <w:r>
        <w:rPr>
          <w:rFonts w:hint="eastAsia" w:ascii="宋体" w:hAnsi="宋体" w:eastAsia="宋体" w:cs="宋体"/>
          <w:sz w:val="24"/>
          <w:highlight w:val="none"/>
        </w:rPr>
        <w:t>→</w:t>
      </w:r>
      <w:r>
        <w:rPr>
          <w:rFonts w:hint="eastAsia" w:ascii="宋体" w:hAnsi="宋体" w:eastAsia="宋体" w:cs="宋体"/>
          <w:sz w:val="24"/>
          <w:highlight w:val="none"/>
          <w:lang w:eastAsia="zh-CN"/>
        </w:rPr>
        <w:t>商务标</w:t>
      </w:r>
      <w:r>
        <w:rPr>
          <w:rFonts w:hint="eastAsia" w:ascii="宋体" w:hAnsi="宋体" w:eastAsia="宋体" w:cs="宋体"/>
          <w:sz w:val="24"/>
          <w:highlight w:val="none"/>
        </w:rPr>
        <w:t>评审→确定中标</w:t>
      </w:r>
      <w:r>
        <w:rPr>
          <w:rFonts w:hint="eastAsia" w:ascii="宋体" w:hAnsi="宋体" w:eastAsia="宋体" w:cs="宋体"/>
          <w:sz w:val="24"/>
          <w:highlight w:val="none"/>
          <w:lang w:val="en-US" w:eastAsia="zh-CN"/>
        </w:rPr>
        <w:t>候选</w:t>
      </w:r>
      <w:r>
        <w:rPr>
          <w:rFonts w:hint="eastAsia" w:ascii="宋体" w:hAnsi="宋体" w:eastAsia="宋体" w:cs="宋体"/>
          <w:sz w:val="24"/>
          <w:highlight w:val="none"/>
        </w:rPr>
        <w:t>人。</w:t>
      </w:r>
    </w:p>
    <w:p w14:paraId="63833035">
      <w:pPr>
        <w:keepNext w:val="0"/>
        <w:keepLines w:val="0"/>
        <w:pageBreakBefore w:val="0"/>
        <w:widowControl/>
        <w:kinsoku/>
        <w:wordWrap/>
        <w:overflowPunct/>
        <w:topLinePunct w:val="0"/>
        <w:bidi w:val="0"/>
        <w:spacing w:line="440" w:lineRule="exact"/>
        <w:ind w:firstLine="482" w:firstLineChars="200"/>
        <w:jc w:val="left"/>
        <w:textAlignment w:val="auto"/>
        <w:outlineLvl w:val="1"/>
        <w:rPr>
          <w:rFonts w:hint="eastAsia" w:ascii="宋体" w:hAnsi="宋体" w:eastAsia="宋体" w:cs="宋体"/>
          <w:sz w:val="24"/>
          <w:highlight w:val="none"/>
        </w:rPr>
      </w:pPr>
      <w:bookmarkStart w:id="43" w:name="_Toc207717738"/>
      <w:bookmarkStart w:id="44" w:name="_Toc26144"/>
      <w:r>
        <w:rPr>
          <w:rFonts w:hint="eastAsia" w:ascii="宋体" w:hAnsi="宋体" w:eastAsia="宋体" w:cs="宋体"/>
          <w:b/>
          <w:bCs/>
          <w:sz w:val="24"/>
          <w:highlight w:val="none"/>
        </w:rPr>
        <w:t>二、投标人资格审查</w:t>
      </w:r>
      <w:bookmarkEnd w:id="43"/>
      <w:bookmarkEnd w:id="44"/>
    </w:p>
    <w:p w14:paraId="7DFC97F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1.本次资格审查采用合格制，各投标人只有满足资格审查必要合格条件后，方可参与</w:t>
      </w:r>
      <w:r>
        <w:rPr>
          <w:rFonts w:hint="eastAsia" w:ascii="宋体" w:hAnsi="宋体" w:eastAsia="宋体" w:cs="宋体"/>
          <w:sz w:val="24"/>
          <w:highlight w:val="none"/>
          <w:lang w:eastAsia="zh-CN"/>
        </w:rPr>
        <w:t>商务标</w:t>
      </w:r>
      <w:r>
        <w:rPr>
          <w:rFonts w:hint="eastAsia" w:ascii="宋体" w:hAnsi="宋体" w:eastAsia="宋体" w:cs="宋体"/>
          <w:sz w:val="24"/>
          <w:highlight w:val="none"/>
        </w:rPr>
        <w:t>的评审。</w:t>
      </w:r>
    </w:p>
    <w:p w14:paraId="1151E18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2.评标委员会按下表所列的资格审查必要合格条件，对各投标人递交的资格审查文件进行评审，并公布资格审查合格者名单。</w:t>
      </w:r>
    </w:p>
    <w:p w14:paraId="13F54737">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资格后审审查标准</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919"/>
        <w:gridCol w:w="3487"/>
        <w:gridCol w:w="3504"/>
      </w:tblGrid>
      <w:tr w14:paraId="3779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24A170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97" w:type="pct"/>
            <w:noWrap w:val="0"/>
            <w:vAlign w:val="center"/>
          </w:tcPr>
          <w:p w14:paraId="590F2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项目内容</w:t>
            </w:r>
          </w:p>
        </w:tc>
        <w:tc>
          <w:tcPr>
            <w:tcW w:w="1811" w:type="pct"/>
            <w:noWrap w:val="0"/>
            <w:vAlign w:val="center"/>
          </w:tcPr>
          <w:p w14:paraId="622A2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合格条件</w:t>
            </w:r>
          </w:p>
        </w:tc>
        <w:tc>
          <w:tcPr>
            <w:tcW w:w="1819" w:type="pct"/>
            <w:noWrap w:val="0"/>
            <w:vAlign w:val="center"/>
          </w:tcPr>
          <w:p w14:paraId="43D001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需提供的证明材料</w:t>
            </w:r>
          </w:p>
        </w:tc>
      </w:tr>
      <w:tr w14:paraId="3EC2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4C2F15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p>
        </w:tc>
        <w:tc>
          <w:tcPr>
            <w:tcW w:w="997" w:type="pct"/>
            <w:noWrap w:val="0"/>
            <w:vAlign w:val="center"/>
          </w:tcPr>
          <w:p w14:paraId="06022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c>
          <w:tcPr>
            <w:tcW w:w="1811" w:type="pct"/>
            <w:noWrap w:val="0"/>
            <w:vAlign w:val="center"/>
          </w:tcPr>
          <w:p w14:paraId="2159B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c>
          <w:tcPr>
            <w:tcW w:w="1819" w:type="pct"/>
            <w:noWrap w:val="0"/>
            <w:vAlign w:val="center"/>
          </w:tcPr>
          <w:p w14:paraId="7AA1F9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r>
      <w:tr w14:paraId="3190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03C55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97" w:type="pct"/>
            <w:noWrap w:val="0"/>
            <w:vAlign w:val="center"/>
          </w:tcPr>
          <w:p w14:paraId="0A826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c>
          <w:tcPr>
            <w:tcW w:w="1811" w:type="pct"/>
            <w:noWrap w:val="0"/>
            <w:vAlign w:val="center"/>
          </w:tcPr>
          <w:p w14:paraId="2E447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c>
          <w:tcPr>
            <w:tcW w:w="1819" w:type="pct"/>
            <w:noWrap w:val="0"/>
            <w:vAlign w:val="center"/>
          </w:tcPr>
          <w:p w14:paraId="430CE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r>
      <w:tr w14:paraId="4279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371" w:type="pct"/>
            <w:noWrap w:val="0"/>
            <w:vAlign w:val="center"/>
          </w:tcPr>
          <w:p w14:paraId="01814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97" w:type="pct"/>
            <w:noWrap w:val="0"/>
            <w:vAlign w:val="center"/>
          </w:tcPr>
          <w:p w14:paraId="1CA51C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企业营业执照</w:t>
            </w:r>
          </w:p>
        </w:tc>
        <w:tc>
          <w:tcPr>
            <w:tcW w:w="1811" w:type="pct"/>
            <w:noWrap w:val="0"/>
            <w:vAlign w:val="center"/>
          </w:tcPr>
          <w:p w14:paraId="3F7FE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企业法人营业执照证书</w:t>
            </w:r>
          </w:p>
        </w:tc>
        <w:tc>
          <w:tcPr>
            <w:tcW w:w="1819" w:type="pct"/>
            <w:noWrap w:val="0"/>
            <w:vAlign w:val="center"/>
          </w:tcPr>
          <w:p w14:paraId="62E23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企业营业执照</w:t>
            </w:r>
          </w:p>
        </w:tc>
      </w:tr>
      <w:tr w14:paraId="386F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371" w:type="pct"/>
            <w:noWrap w:val="0"/>
            <w:vAlign w:val="center"/>
          </w:tcPr>
          <w:p w14:paraId="675E95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97" w:type="pct"/>
            <w:noWrap w:val="0"/>
            <w:vAlign w:val="center"/>
          </w:tcPr>
          <w:p w14:paraId="5B2FF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tc>
        <w:tc>
          <w:tcPr>
            <w:tcW w:w="1811" w:type="pct"/>
            <w:noWrap w:val="0"/>
            <w:vAlign w:val="center"/>
          </w:tcPr>
          <w:p w14:paraId="54AF1B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投标人为通州区物管中心信用考核合格单位或南通物业协会考核合格单位。</w:t>
            </w:r>
          </w:p>
        </w:tc>
        <w:tc>
          <w:tcPr>
            <w:tcW w:w="1819" w:type="pct"/>
            <w:noWrap w:val="0"/>
            <w:vAlign w:val="center"/>
          </w:tcPr>
          <w:p w14:paraId="0C5F8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相关证明文件</w:t>
            </w:r>
          </w:p>
        </w:tc>
      </w:tr>
      <w:tr w14:paraId="2DEB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371" w:type="pct"/>
            <w:noWrap w:val="0"/>
            <w:vAlign w:val="center"/>
          </w:tcPr>
          <w:p w14:paraId="6CEAA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997" w:type="pct"/>
            <w:noWrap w:val="0"/>
            <w:vAlign w:val="center"/>
          </w:tcPr>
          <w:p w14:paraId="35151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承诺书</w:t>
            </w:r>
          </w:p>
        </w:tc>
        <w:tc>
          <w:tcPr>
            <w:tcW w:w="1811" w:type="pct"/>
            <w:noWrap w:val="0"/>
            <w:vAlign w:val="center"/>
          </w:tcPr>
          <w:p w14:paraId="4BF51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承诺书</w:t>
            </w:r>
          </w:p>
        </w:tc>
        <w:tc>
          <w:tcPr>
            <w:tcW w:w="1819" w:type="pct"/>
            <w:noWrap w:val="0"/>
            <w:vAlign w:val="center"/>
          </w:tcPr>
          <w:p w14:paraId="208E96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投标人法定代表人签名（或盖章）并加盖单位公章的承诺书（格式详见附件）。</w:t>
            </w:r>
          </w:p>
        </w:tc>
      </w:tr>
      <w:tr w14:paraId="2A4A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371" w:type="pct"/>
            <w:noWrap w:val="0"/>
            <w:vAlign w:val="center"/>
          </w:tcPr>
          <w:p w14:paraId="37420D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4628" w:type="pct"/>
            <w:gridSpan w:val="3"/>
            <w:noWrap w:val="0"/>
            <w:vAlign w:val="center"/>
          </w:tcPr>
          <w:p w14:paraId="6A4D73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）中任何一条不符合要求，则资格性审查不通过，按无效标处理。</w:t>
            </w:r>
          </w:p>
        </w:tc>
      </w:tr>
    </w:tbl>
    <w:p w14:paraId="2ACAFA1D">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三、技术标评审（90分）</w:t>
      </w:r>
    </w:p>
    <w:tbl>
      <w:tblPr>
        <w:tblStyle w:val="8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94"/>
        <w:gridCol w:w="1051"/>
        <w:gridCol w:w="6365"/>
      </w:tblGrid>
      <w:tr w14:paraId="2AE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top"/>
          </w:tcPr>
          <w:p w14:paraId="0254ED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24" w:type="pct"/>
            <w:noWrap w:val="0"/>
            <w:vAlign w:val="top"/>
          </w:tcPr>
          <w:p w14:paraId="31A96B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综合项目</w:t>
            </w:r>
          </w:p>
        </w:tc>
        <w:tc>
          <w:tcPr>
            <w:tcW w:w="546" w:type="pct"/>
            <w:noWrap w:val="0"/>
            <w:vAlign w:val="top"/>
          </w:tcPr>
          <w:p w14:paraId="4C9327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3307" w:type="pct"/>
            <w:noWrap w:val="0"/>
            <w:vAlign w:val="top"/>
          </w:tcPr>
          <w:p w14:paraId="200A4C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评分细则</w:t>
            </w:r>
          </w:p>
        </w:tc>
      </w:tr>
      <w:tr w14:paraId="7983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restart"/>
            <w:noWrap w:val="0"/>
            <w:vAlign w:val="center"/>
          </w:tcPr>
          <w:p w14:paraId="00386D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724" w:type="pct"/>
            <w:vMerge w:val="restart"/>
            <w:noWrap w:val="0"/>
            <w:vAlign w:val="center"/>
          </w:tcPr>
          <w:p w14:paraId="5C9B9578">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企业实力</w:t>
            </w:r>
          </w:p>
        </w:tc>
        <w:tc>
          <w:tcPr>
            <w:tcW w:w="546" w:type="pct"/>
            <w:noWrap w:val="0"/>
            <w:vAlign w:val="center"/>
          </w:tcPr>
          <w:p w14:paraId="7E3EF2F0">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15</w:t>
            </w:r>
            <w:r>
              <w:rPr>
                <w:rFonts w:hint="eastAsia" w:ascii="宋体" w:hAnsi="宋体" w:eastAsia="宋体" w:cs="宋体"/>
                <w:b/>
                <w:sz w:val="24"/>
                <w:szCs w:val="24"/>
                <w:highlight w:val="none"/>
              </w:rPr>
              <w:t>分</w:t>
            </w:r>
          </w:p>
        </w:tc>
        <w:tc>
          <w:tcPr>
            <w:tcW w:w="3307" w:type="pct"/>
            <w:noWrap w:val="0"/>
            <w:vAlign w:val="center"/>
          </w:tcPr>
          <w:p w14:paraId="7B62133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自</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年1月1日起（以合同签订日期为准）具有</w:t>
            </w:r>
            <w:r>
              <w:rPr>
                <w:rFonts w:hint="eastAsia" w:ascii="宋体" w:hAnsi="宋体" w:eastAsia="宋体" w:cs="宋体"/>
                <w:sz w:val="24"/>
                <w:szCs w:val="24"/>
                <w:highlight w:val="none"/>
                <w:lang w:eastAsia="zh-CN"/>
              </w:rPr>
              <w:t>物业服务</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业绩</w:t>
            </w:r>
            <w:r>
              <w:rPr>
                <w:rFonts w:hint="eastAsia" w:ascii="宋体" w:hAnsi="宋体" w:eastAsia="宋体" w:cs="宋体"/>
                <w:sz w:val="24"/>
                <w:szCs w:val="24"/>
                <w:highlight w:val="none"/>
              </w:rPr>
              <w:t>的，每</w:t>
            </w:r>
            <w:r>
              <w:rPr>
                <w:rFonts w:hint="eastAsia" w:ascii="宋体" w:hAnsi="宋体" w:eastAsia="宋体" w:cs="宋体"/>
                <w:sz w:val="24"/>
                <w:szCs w:val="24"/>
                <w:highlight w:val="none"/>
                <w:lang w:val="en-US" w:eastAsia="zh-CN"/>
              </w:rPr>
              <w:t>提供1个业绩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提供合同扫描件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公章，未按要求提供的不得分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611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43FE35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38EE03DB">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309B9A3E">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6分</w:t>
            </w:r>
          </w:p>
        </w:tc>
        <w:tc>
          <w:tcPr>
            <w:tcW w:w="3307" w:type="pct"/>
            <w:noWrap w:val="0"/>
            <w:vAlign w:val="center"/>
          </w:tcPr>
          <w:p w14:paraId="2E22BB56">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具有质量管理体系认证证书、环境管理体系认证证书、职业健康安全管理体系认证证书，每</w:t>
            </w:r>
            <w:r>
              <w:rPr>
                <w:rFonts w:hint="eastAsia" w:ascii="宋体" w:hAnsi="宋体" w:eastAsia="宋体" w:cs="宋体"/>
                <w:kern w:val="0"/>
                <w:sz w:val="24"/>
                <w:szCs w:val="24"/>
                <w:highlight w:val="none"/>
                <w:lang w:val="en-US" w:eastAsia="zh-CN"/>
              </w:rPr>
              <w:t>提供</w:t>
            </w:r>
            <w:r>
              <w:rPr>
                <w:rFonts w:hint="eastAsia" w:ascii="宋体" w:hAnsi="宋体" w:eastAsia="宋体" w:cs="宋体"/>
                <w:kern w:val="0"/>
                <w:sz w:val="24"/>
                <w:szCs w:val="24"/>
                <w:highlight w:val="none"/>
              </w:rPr>
              <w:t>一项得2分，本项最高6分。</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提供</w:t>
            </w:r>
            <w:r>
              <w:rPr>
                <w:rFonts w:hint="eastAsia" w:ascii="宋体" w:hAnsi="宋体" w:eastAsia="宋体" w:cs="宋体"/>
                <w:sz w:val="24"/>
                <w:szCs w:val="24"/>
                <w:highlight w:val="none"/>
              </w:rPr>
              <w:t>有效期内的认证证书的原件扫描件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加盖单位公章</w:t>
            </w:r>
            <w:r>
              <w:rPr>
                <w:rFonts w:hint="eastAsia" w:ascii="宋体" w:hAnsi="宋体" w:eastAsia="宋体" w:cs="宋体"/>
                <w:kern w:val="0"/>
                <w:sz w:val="24"/>
                <w:szCs w:val="24"/>
                <w:highlight w:val="none"/>
                <w:lang w:val="en-US" w:eastAsia="zh-CN"/>
              </w:rPr>
              <w:t>]</w:t>
            </w:r>
          </w:p>
        </w:tc>
      </w:tr>
      <w:tr w14:paraId="14E4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421" w:type="pct"/>
            <w:vMerge w:val="restart"/>
            <w:noWrap w:val="0"/>
            <w:vAlign w:val="center"/>
          </w:tcPr>
          <w:p w14:paraId="7D9682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p>
        </w:tc>
        <w:tc>
          <w:tcPr>
            <w:tcW w:w="724" w:type="pct"/>
            <w:vMerge w:val="restart"/>
            <w:noWrap w:val="0"/>
            <w:vAlign w:val="center"/>
          </w:tcPr>
          <w:p w14:paraId="02C555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方案</w:t>
            </w:r>
          </w:p>
        </w:tc>
        <w:tc>
          <w:tcPr>
            <w:tcW w:w="546" w:type="pct"/>
            <w:noWrap w:val="0"/>
            <w:vAlign w:val="center"/>
          </w:tcPr>
          <w:p w14:paraId="395F5D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分</w:t>
            </w:r>
          </w:p>
        </w:tc>
        <w:tc>
          <w:tcPr>
            <w:tcW w:w="3307" w:type="pct"/>
            <w:noWrap w:val="0"/>
            <w:vAlign w:val="center"/>
          </w:tcPr>
          <w:p w14:paraId="78F65C6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提供的项目</w:t>
            </w:r>
            <w:r>
              <w:rPr>
                <w:rFonts w:hint="eastAsia" w:ascii="宋体" w:hAnsi="宋体" w:eastAsia="宋体" w:cs="宋体"/>
                <w:b/>
                <w:bCs/>
                <w:color w:val="auto"/>
                <w:sz w:val="24"/>
                <w:szCs w:val="24"/>
                <w:highlight w:val="none"/>
              </w:rPr>
              <w:t>物业</w:t>
            </w:r>
            <w:r>
              <w:rPr>
                <w:rFonts w:hint="eastAsia" w:ascii="宋体" w:hAnsi="宋体" w:eastAsia="宋体" w:cs="宋体"/>
                <w:b/>
                <w:bCs/>
                <w:color w:val="auto"/>
                <w:sz w:val="24"/>
                <w:szCs w:val="24"/>
                <w:highlight w:val="none"/>
                <w:lang w:val="en-US" w:eastAsia="zh-CN"/>
              </w:rPr>
              <w:t>分包的</w:t>
            </w:r>
            <w:r>
              <w:rPr>
                <w:rFonts w:hint="eastAsia" w:ascii="宋体" w:hAnsi="宋体" w:eastAsia="宋体" w:cs="宋体"/>
                <w:b/>
                <w:bCs/>
                <w:color w:val="auto"/>
                <w:sz w:val="24"/>
                <w:szCs w:val="24"/>
                <w:highlight w:val="none"/>
              </w:rPr>
              <w:t>服务理念、服务目标</w:t>
            </w:r>
            <w:r>
              <w:rPr>
                <w:rFonts w:hint="eastAsia" w:ascii="宋体" w:hAnsi="宋体" w:eastAsia="宋体" w:cs="宋体"/>
                <w:b/>
                <w:bCs/>
                <w:color w:val="auto"/>
                <w:sz w:val="24"/>
                <w:szCs w:val="24"/>
                <w:highlight w:val="none"/>
                <w:lang w:eastAsia="zh-CN"/>
              </w:rPr>
              <w:t>、服务重点难点</w:t>
            </w:r>
            <w:r>
              <w:rPr>
                <w:rFonts w:hint="eastAsia" w:ascii="宋体" w:hAnsi="宋体" w:eastAsia="宋体" w:cs="宋体"/>
                <w:b/>
                <w:bCs/>
                <w:color w:val="auto"/>
                <w:sz w:val="24"/>
                <w:szCs w:val="24"/>
                <w:highlight w:val="none"/>
              </w:rPr>
              <w:t>等</w:t>
            </w:r>
            <w:r>
              <w:rPr>
                <w:rFonts w:hint="eastAsia" w:ascii="宋体" w:hAnsi="宋体" w:eastAsia="宋体" w:cs="宋体"/>
                <w:b/>
                <w:bCs/>
                <w:color w:val="auto"/>
                <w:sz w:val="24"/>
                <w:szCs w:val="24"/>
                <w:highlight w:val="none"/>
                <w:lang w:val="en-US" w:eastAsia="zh-CN"/>
              </w:rPr>
              <w:t>方案</w:t>
            </w:r>
            <w:r>
              <w:rPr>
                <w:rFonts w:hint="eastAsia" w:ascii="宋体" w:hAnsi="宋体" w:eastAsia="宋体" w:cs="宋体"/>
                <w:b/>
                <w:bCs/>
                <w:color w:val="auto"/>
                <w:sz w:val="24"/>
                <w:szCs w:val="24"/>
                <w:highlight w:val="none"/>
              </w:rPr>
              <w:t>：</w:t>
            </w:r>
          </w:p>
          <w:p w14:paraId="1D82CB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12</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15ED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5E5C83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6EED68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386806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分</w:t>
            </w:r>
          </w:p>
        </w:tc>
        <w:tc>
          <w:tcPr>
            <w:tcW w:w="3307" w:type="pct"/>
            <w:noWrap w:val="0"/>
            <w:vAlign w:val="center"/>
          </w:tcPr>
          <w:p w14:paraId="5801AED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卫生保洁</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12</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1F03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758DF2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18A367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48BD99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分</w:t>
            </w:r>
          </w:p>
        </w:tc>
        <w:tc>
          <w:tcPr>
            <w:tcW w:w="3307" w:type="pct"/>
            <w:noWrap w:val="0"/>
            <w:vAlign w:val="center"/>
          </w:tcPr>
          <w:p w14:paraId="5E9E0EA8">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设施设备</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47D9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43ED9D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0D0929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2E02E2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12分</w:t>
            </w:r>
          </w:p>
        </w:tc>
        <w:tc>
          <w:tcPr>
            <w:tcW w:w="3307" w:type="pct"/>
            <w:noWrap w:val="0"/>
            <w:vAlign w:val="center"/>
          </w:tcPr>
          <w:p w14:paraId="59A5E13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秩序维护</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12</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033E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3122B7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119D62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7AA811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分</w:t>
            </w:r>
          </w:p>
        </w:tc>
        <w:tc>
          <w:tcPr>
            <w:tcW w:w="3307" w:type="pct"/>
            <w:noWrap w:val="0"/>
            <w:vAlign w:val="center"/>
          </w:tcPr>
          <w:p w14:paraId="44F4C639">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u w:val="none"/>
              </w:rPr>
              <w:t>针对本项目各项</w:t>
            </w:r>
            <w:r>
              <w:rPr>
                <w:rFonts w:hint="eastAsia" w:ascii="宋体" w:hAnsi="宋体" w:eastAsia="宋体" w:cs="宋体"/>
                <w:b/>
                <w:bCs/>
                <w:color w:val="auto"/>
                <w:sz w:val="24"/>
                <w:szCs w:val="24"/>
                <w:highlight w:val="none"/>
                <w:u w:val="none"/>
              </w:rPr>
              <w:t>突发事件和紧急事件的处理方案和措施</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如（火灾、重大活动、临时接待、</w:t>
            </w:r>
            <w:r>
              <w:rPr>
                <w:rFonts w:hint="eastAsia" w:ascii="宋体" w:hAnsi="宋体" w:eastAsia="宋体" w:cs="宋体"/>
                <w:b w:val="0"/>
                <w:bCs w:val="0"/>
                <w:color w:val="auto"/>
                <w:sz w:val="24"/>
                <w:szCs w:val="24"/>
                <w:highlight w:val="none"/>
                <w:u w:val="none"/>
                <w:lang w:val="en-US" w:eastAsia="zh-CN"/>
              </w:rPr>
              <w:t>社会舆情</w:t>
            </w:r>
            <w:r>
              <w:rPr>
                <w:rFonts w:hint="eastAsia" w:ascii="宋体" w:hAnsi="宋体" w:eastAsia="宋体" w:cs="宋体"/>
                <w:b w:val="0"/>
                <w:bCs w:val="0"/>
                <w:color w:val="auto"/>
                <w:sz w:val="24"/>
                <w:szCs w:val="24"/>
                <w:highlight w:val="none"/>
                <w:u w:val="none"/>
                <w:lang w:eastAsia="zh-CN"/>
              </w:rPr>
              <w:t>等）应急处理预案等</w:t>
            </w:r>
            <w:r>
              <w:rPr>
                <w:rFonts w:hint="eastAsia" w:ascii="宋体" w:hAnsi="宋体" w:eastAsia="宋体" w:cs="宋体"/>
                <w:b w:val="0"/>
                <w:bCs w:val="0"/>
                <w:sz w:val="24"/>
                <w:szCs w:val="24"/>
                <w:highlight w:val="none"/>
              </w:rPr>
              <w:t>综合评分，</w:t>
            </w:r>
            <w:r>
              <w:rPr>
                <w:rFonts w:hint="eastAsia" w:ascii="宋体" w:hAnsi="宋体" w:eastAsia="宋体" w:cs="宋体"/>
                <w:b w:val="0"/>
                <w:bCs w:val="0"/>
                <w:color w:val="auto"/>
                <w:sz w:val="24"/>
                <w:szCs w:val="24"/>
                <w:highlight w:val="none"/>
              </w:rPr>
              <w:t>表述</w:t>
            </w:r>
            <w:r>
              <w:rPr>
                <w:rFonts w:hint="eastAsia" w:ascii="宋体" w:hAnsi="宋体" w:eastAsia="宋体" w:cs="宋体"/>
                <w:b w:val="0"/>
                <w:bCs w:val="0"/>
                <w:color w:val="auto"/>
                <w:sz w:val="24"/>
                <w:szCs w:val="24"/>
                <w:highlight w:val="none"/>
                <w:lang w:bidi="ar"/>
              </w:rPr>
              <w:t>十分详细、整体思路清晰、切实可行、符合本</w:t>
            </w:r>
            <w:r>
              <w:rPr>
                <w:rFonts w:hint="eastAsia" w:ascii="宋体" w:hAnsi="宋体" w:eastAsia="宋体" w:cs="宋体"/>
                <w:color w:val="auto"/>
                <w:sz w:val="24"/>
                <w:szCs w:val="24"/>
                <w:highlight w:val="none"/>
                <w:lang w:bidi="ar"/>
              </w:rPr>
              <w:t>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12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未提供不得分。</w:t>
            </w:r>
          </w:p>
        </w:tc>
      </w:tr>
      <w:tr w14:paraId="4B36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041E0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w:t>
            </w:r>
          </w:p>
        </w:tc>
        <w:tc>
          <w:tcPr>
            <w:tcW w:w="724" w:type="pct"/>
            <w:noWrap w:val="0"/>
            <w:vAlign w:val="center"/>
          </w:tcPr>
          <w:p w14:paraId="77958CD6">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rPr>
              <w:t>组织及人员配置</w:t>
            </w:r>
          </w:p>
        </w:tc>
        <w:tc>
          <w:tcPr>
            <w:tcW w:w="546" w:type="pct"/>
            <w:noWrap w:val="0"/>
            <w:vAlign w:val="center"/>
          </w:tcPr>
          <w:p w14:paraId="4284CA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9分</w:t>
            </w:r>
          </w:p>
        </w:tc>
        <w:tc>
          <w:tcPr>
            <w:tcW w:w="3307" w:type="pct"/>
            <w:noWrap w:val="0"/>
            <w:vAlign w:val="center"/>
          </w:tcPr>
          <w:p w14:paraId="2D5F0A36">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提供的针对本项目组织架构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培训方案：</w:t>
            </w:r>
            <w:r>
              <w:rPr>
                <w:rFonts w:hint="eastAsia" w:ascii="宋体" w:hAnsi="宋体" w:eastAsia="宋体" w:cs="宋体"/>
                <w:color w:val="auto"/>
                <w:sz w:val="24"/>
                <w:szCs w:val="24"/>
                <w:highlight w:val="none"/>
                <w:lang w:bidi="ar"/>
              </w:rPr>
              <w:t>岗位设置及人员配备整体思路清晰且能满足本项目的需求，各项方案全面、合理、可操作性很强得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bidi="ar"/>
              </w:rPr>
              <w:t>方案较全面、较合理、可操作性较强得</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方案片面、合理性一般、可操作性一般得</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不提供不得分。</w:t>
            </w:r>
          </w:p>
        </w:tc>
      </w:tr>
    </w:tbl>
    <w:p w14:paraId="40A6E499">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sz w:val="24"/>
          <w:highlight w:val="none"/>
          <w:lang w:val="en-US" w:eastAsia="zh-CN"/>
        </w:rPr>
      </w:pPr>
    </w:p>
    <w:p w14:paraId="72ACA91A">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w:t>
      </w:r>
      <w:r>
        <w:rPr>
          <w:rFonts w:hint="eastAsia" w:ascii="宋体" w:hAnsi="宋体" w:eastAsia="宋体" w:cs="宋体"/>
          <w:b/>
          <w:sz w:val="24"/>
          <w:highlight w:val="none"/>
          <w:lang w:eastAsia="zh-CN"/>
        </w:rPr>
        <w:t>商务标</w:t>
      </w:r>
      <w:r>
        <w:rPr>
          <w:rFonts w:hint="eastAsia" w:ascii="宋体" w:hAnsi="宋体" w:eastAsia="宋体" w:cs="宋体"/>
          <w:b/>
          <w:sz w:val="24"/>
          <w:highlight w:val="none"/>
        </w:rPr>
        <w:t>评审</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10分</w:t>
      </w:r>
      <w:r>
        <w:rPr>
          <w:rFonts w:hint="eastAsia" w:ascii="宋体" w:hAnsi="宋体" w:eastAsia="宋体" w:cs="宋体"/>
          <w:b/>
          <w:sz w:val="24"/>
          <w:highlight w:val="none"/>
          <w:lang w:eastAsia="zh-CN"/>
        </w:rPr>
        <w:t>）</w:t>
      </w:r>
    </w:p>
    <w:bookmarkEnd w:id="36"/>
    <w:bookmarkEnd w:id="37"/>
    <w:bookmarkEnd w:id="38"/>
    <w:bookmarkEnd w:id="39"/>
    <w:bookmarkEnd w:id="40"/>
    <w:bookmarkEnd w:id="41"/>
    <w:bookmarkEnd w:id="42"/>
    <w:p w14:paraId="60F2F67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.确定有效报价</w:t>
      </w:r>
    </w:p>
    <w:p w14:paraId="0FD8644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有效报价是指投标人投标报价低于或等于招标人设定的</w:t>
      </w:r>
      <w:r>
        <w:rPr>
          <w:rFonts w:hint="eastAsia" w:ascii="宋体" w:hAnsi="宋体" w:eastAsia="宋体" w:cs="宋体"/>
          <w:sz w:val="24"/>
          <w:highlight w:val="none"/>
          <w:lang w:val="en-US" w:eastAsia="zh-CN"/>
        </w:rPr>
        <w:t>最高限价</w:t>
      </w:r>
      <w:r>
        <w:rPr>
          <w:rFonts w:hint="eastAsia" w:ascii="宋体" w:hAnsi="宋体" w:eastAsia="宋体" w:cs="宋体"/>
          <w:sz w:val="24"/>
          <w:highlight w:val="none"/>
        </w:rPr>
        <w:t>，投标报价高于</w:t>
      </w:r>
      <w:r>
        <w:rPr>
          <w:rFonts w:hint="eastAsia" w:ascii="宋体" w:hAnsi="宋体" w:eastAsia="宋体" w:cs="宋体"/>
          <w:sz w:val="24"/>
          <w:highlight w:val="none"/>
          <w:lang w:val="en-US" w:eastAsia="zh-CN"/>
        </w:rPr>
        <w:t>最高限价</w:t>
      </w:r>
      <w:r>
        <w:rPr>
          <w:rFonts w:hint="eastAsia" w:ascii="宋体" w:hAnsi="宋体" w:eastAsia="宋体" w:cs="宋体"/>
          <w:sz w:val="24"/>
          <w:highlight w:val="none"/>
        </w:rPr>
        <w:t>的为无效报价，作无效投标处理。</w:t>
      </w:r>
    </w:p>
    <w:p w14:paraId="618917E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2.商务标得</w:t>
      </w:r>
      <w:r>
        <w:rPr>
          <w:rFonts w:hint="eastAsia" w:ascii="宋体" w:hAnsi="宋体" w:eastAsia="宋体" w:cs="宋体"/>
          <w:sz w:val="24"/>
          <w:highlight w:val="none"/>
        </w:rPr>
        <w:t>分统一采用低价优先法计算，即满足招标文件要求且投标价格最低的投标报价为评标基准价，其</w:t>
      </w:r>
      <w:r>
        <w:rPr>
          <w:rFonts w:hint="eastAsia" w:ascii="宋体" w:hAnsi="宋体" w:eastAsia="宋体" w:cs="宋体"/>
          <w:sz w:val="24"/>
          <w:highlight w:val="none"/>
          <w:lang w:val="en-US" w:eastAsia="zh-CN"/>
        </w:rPr>
        <w:t>商务标得</w:t>
      </w:r>
      <w:r>
        <w:rPr>
          <w:rFonts w:hint="eastAsia" w:ascii="宋体" w:hAnsi="宋体" w:eastAsia="宋体" w:cs="宋体"/>
          <w:sz w:val="24"/>
          <w:highlight w:val="none"/>
        </w:rPr>
        <w:t>分为满分。其他投标人的</w:t>
      </w:r>
      <w:r>
        <w:rPr>
          <w:rFonts w:hint="eastAsia" w:ascii="宋体" w:hAnsi="宋体" w:eastAsia="宋体" w:cs="宋体"/>
          <w:sz w:val="24"/>
          <w:highlight w:val="none"/>
          <w:lang w:val="en-US" w:eastAsia="zh-CN"/>
        </w:rPr>
        <w:t>商务标得</w:t>
      </w:r>
      <w:r>
        <w:rPr>
          <w:rFonts w:hint="eastAsia" w:ascii="宋体" w:hAnsi="宋体" w:eastAsia="宋体" w:cs="宋体"/>
          <w:sz w:val="24"/>
          <w:highlight w:val="none"/>
        </w:rPr>
        <w:t>分统一按照下列公式计算：</w:t>
      </w:r>
    </w:p>
    <w:p w14:paraId="7FF6F7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商务标</w:t>
      </w:r>
      <w:r>
        <w:rPr>
          <w:rFonts w:hint="eastAsia" w:ascii="宋体" w:hAnsi="宋体" w:eastAsia="宋体" w:cs="宋体"/>
          <w:sz w:val="24"/>
          <w:highlight w:val="none"/>
        </w:rPr>
        <w:t>得分=（评标基准价/投标报价）×价格权值×100</w:t>
      </w:r>
    </w:p>
    <w:p w14:paraId="316A4544">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 </w:t>
      </w:r>
    </w:p>
    <w:p w14:paraId="0C274F9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确定中标候选人</w:t>
      </w:r>
    </w:p>
    <w:p w14:paraId="7BF6812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投标人最终得分=技术标得分+</w:t>
      </w:r>
      <w:r>
        <w:rPr>
          <w:rFonts w:hint="eastAsia" w:ascii="宋体" w:hAnsi="宋体" w:eastAsia="宋体" w:cs="宋体"/>
          <w:b w:val="0"/>
          <w:bCs w:val="0"/>
          <w:sz w:val="24"/>
          <w:highlight w:val="none"/>
          <w:lang w:val="en-US" w:eastAsia="zh-CN"/>
        </w:rPr>
        <w:t>商务标</w:t>
      </w:r>
      <w:r>
        <w:rPr>
          <w:rFonts w:hint="eastAsia" w:ascii="宋体" w:hAnsi="宋体" w:eastAsia="宋体" w:cs="宋体"/>
          <w:b w:val="0"/>
          <w:bCs w:val="0"/>
          <w:sz w:val="24"/>
          <w:highlight w:val="none"/>
        </w:rPr>
        <w:t>得分</w:t>
      </w:r>
    </w:p>
    <w:p w14:paraId="09845F7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评标委员会对满足招标文件实质性要求的投标文件，按照评分标准对技术标和商务标进行打分，按得分由高到低确定中标候选人。</w:t>
      </w:r>
    </w:p>
    <w:p w14:paraId="310C42B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总分得分相等时，商务标得分高者优先中标；如商务标得分和技术标得分均相同，由招标人代表现场抽签确定中标候选人顺序。</w:t>
      </w:r>
    </w:p>
    <w:p w14:paraId="485E304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r>
        <w:rPr>
          <w:rFonts w:hint="eastAsia" w:ascii="宋体" w:hAnsi="宋体" w:eastAsia="宋体" w:cs="宋体"/>
          <w:b w:val="0"/>
          <w:bCs w:val="0"/>
          <w:sz w:val="24"/>
          <w:highlight w:val="none"/>
          <w:lang w:val="en-US" w:eastAsia="zh-CN"/>
        </w:rPr>
        <w:t>也可以</w:t>
      </w:r>
      <w:r>
        <w:rPr>
          <w:rFonts w:hint="eastAsia" w:ascii="宋体" w:hAnsi="宋体" w:eastAsia="宋体" w:cs="宋体"/>
          <w:b w:val="0"/>
          <w:bCs w:val="0"/>
          <w:sz w:val="24"/>
          <w:highlight w:val="none"/>
        </w:rPr>
        <w:t>重新招标。</w:t>
      </w:r>
    </w:p>
    <w:p w14:paraId="0A2CF49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评标过程如遇特殊情况，评标委员会具有最终解释权。</w:t>
      </w:r>
    </w:p>
    <w:p w14:paraId="6614542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w:t>
      </w:r>
      <w:bookmarkEnd w:id="32"/>
      <w:bookmarkStart w:id="45" w:name="_Toc182849073"/>
      <w:r>
        <w:rPr>
          <w:rFonts w:hint="eastAsia" w:ascii="宋体" w:hAnsi="宋体" w:eastAsia="宋体" w:cs="宋体"/>
          <w:b/>
          <w:bCs/>
          <w:sz w:val="24"/>
          <w:highlight w:val="none"/>
        </w:rPr>
        <w:t>出现下列情形之一的，作无效投标处理：</w:t>
      </w:r>
    </w:p>
    <w:p w14:paraId="6D240C4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（1）投标文件未按照招标文件的要求予以密封和标志的；</w:t>
      </w:r>
    </w:p>
    <w:p w14:paraId="5EA0F8B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（2）投标文件中的投标函未加盖投标单位的公章及企业法定代表人或委托代理人印章（或签字）的；</w:t>
      </w:r>
    </w:p>
    <w:p w14:paraId="01D7C57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（3）未按招标文件规定的格式填写，内容不全或关键字迹模糊、无法辨认的；</w:t>
      </w:r>
    </w:p>
    <w:p w14:paraId="2E43FEB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（4）投标单位递交两份或多份内容不同的招标文件，或在一份招标文件中对同一招标项目报有两个或多个报价，且未声明哪一个有效的；</w:t>
      </w:r>
    </w:p>
    <w:p w14:paraId="2E98A73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（5）投标文件载明的投标项目完成工期超过</w:t>
      </w:r>
      <w:r>
        <w:rPr>
          <w:rFonts w:hint="eastAsia" w:ascii="宋体" w:hAnsi="宋体" w:eastAsia="宋体" w:cs="宋体"/>
          <w:sz w:val="24"/>
          <w:highlight w:val="none"/>
        </w:rPr>
        <w:t>招标文件规定的工期要求的；</w:t>
      </w:r>
    </w:p>
    <w:p w14:paraId="0F0FD6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（6）明显不符合技术规范、技术标准的要求；</w:t>
      </w:r>
    </w:p>
    <w:p w14:paraId="742AD44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（7）以他人的名义投标、串通投标、以行贿手段谋取中标或者以其他弄虚作假方式招标的；</w:t>
      </w:r>
    </w:p>
    <w:p w14:paraId="2E0A55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（8）未按招标文件要求提供投标保证金的；</w:t>
      </w:r>
    </w:p>
    <w:p w14:paraId="1955E0C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（9）组成联合体投标未提供联合体各方共同投标协议的（仅适用于联合体投标）； </w:t>
      </w:r>
    </w:p>
    <w:p w14:paraId="4223A5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（10）在同一招标项目中，联合体成员以自己名义单独投标或者参加其他联合体投标的（仅适用于联合体投标）； </w:t>
      </w:r>
    </w:p>
    <w:p w14:paraId="706DFD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（11）投标人的投标报价超过招标文件规定的最高投标限价或招标控制价的； </w:t>
      </w:r>
    </w:p>
    <w:p w14:paraId="1EFEF6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（12）投标文件提出了不能满足招标文件要求或招标人不能接受的条件的； </w:t>
      </w:r>
    </w:p>
    <w:p w14:paraId="2A71706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（13）不同投标人的投标文件以及投标文件制作过程出现了评标委员会认为不应当雷同的情况的； </w:t>
      </w:r>
    </w:p>
    <w:p w14:paraId="36774F7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（14）以他人的名义投标、串通投标、以行贿手段谋取中标或者以其他弄虚作假方式投标的。 </w:t>
      </w:r>
    </w:p>
    <w:p w14:paraId="1D38646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ascii="宋体" w:hAnsi="宋体" w:cs="宋体"/>
          <w:sz w:val="24"/>
          <w:highlight w:val="none"/>
        </w:rPr>
      </w:pPr>
      <w:r>
        <w:rPr>
          <w:rFonts w:hint="eastAsia" w:ascii="宋体" w:hAnsi="宋体" w:cs="宋体"/>
          <w:b/>
          <w:sz w:val="24"/>
          <w:highlight w:val="none"/>
          <w:lang w:val="en-US" w:eastAsia="zh-CN"/>
        </w:rPr>
        <w:t>七</w:t>
      </w:r>
      <w:r>
        <w:rPr>
          <w:rFonts w:hint="eastAsia" w:ascii="宋体" w:hAnsi="宋体" w:cs="宋体"/>
          <w:b/>
          <w:sz w:val="24"/>
          <w:highlight w:val="none"/>
        </w:rPr>
        <w:t>、有下列情形之一的，视为投标人串通投标，其投标无效：</w:t>
      </w:r>
    </w:p>
    <w:p w14:paraId="4140E2DF">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不同投标人的投标文件由同一单位或者个人编制；</w:t>
      </w:r>
    </w:p>
    <w:p w14:paraId="74B55EA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不同投标人委托同一单位或者个人办理投标事宜；</w:t>
      </w:r>
    </w:p>
    <w:p w14:paraId="025A0271">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不同投标人的投标文件载明的项目管理成员或者联系人员为同一人；</w:t>
      </w:r>
    </w:p>
    <w:p w14:paraId="488B132C">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不同投标人的投标文件异常一致或者投标报价呈规律性差异；</w:t>
      </w:r>
    </w:p>
    <w:p w14:paraId="74A29906">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不同投标人的投标文件相互混装。</w:t>
      </w:r>
    </w:p>
    <w:p w14:paraId="4CBAB604">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、出现下列情形之一的，作废标处理：</w:t>
      </w:r>
    </w:p>
    <w:p w14:paraId="1988A7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符合资格审查条件的投标供应商或者对招标文件作实质性响应的投标供应商不足三家的；</w:t>
      </w:r>
    </w:p>
    <w:p w14:paraId="20EC680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出现影响招标公正的违法违规行为的；</w:t>
      </w:r>
    </w:p>
    <w:p w14:paraId="7140C1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所有投标人报价超出招标最高限价的；</w:t>
      </w:r>
    </w:p>
    <w:p w14:paraId="1A0343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因重大变故，招标任务被取消的；</w:t>
      </w:r>
    </w:p>
    <w:p w14:paraId="20AC2C3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评标委员会依据法律法规可以认定为废标的其他情况。</w:t>
      </w:r>
    </w:p>
    <w:p w14:paraId="05EDD567">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、中标通知</w:t>
      </w:r>
    </w:p>
    <w:p w14:paraId="583FC61D">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1.开标结束后，招标人在“南通圆宏控股集团有限公司集团官网－公告公示－招标投标版块”公示评标结果。</w:t>
      </w:r>
    </w:p>
    <w:p w14:paraId="4662664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2.中标公示期不少于3天，期限结束后向中标人发出《中标通知书》。</w:t>
      </w:r>
    </w:p>
    <w:p w14:paraId="22BFEE25">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3.《中标通知书》一经发出，即具有法律效力。招标人、中标人依法承担法律责任。</w:t>
      </w:r>
    </w:p>
    <w:p w14:paraId="56786C18">
      <w:pPr>
        <w:snapToGrid w:val="0"/>
        <w:spacing w:line="360" w:lineRule="auto"/>
        <w:jc w:val="center"/>
        <w:rPr>
          <w:rFonts w:hint="eastAsia" w:ascii="宋体" w:hAnsi="宋体" w:eastAsia="宋体" w:cs="宋体"/>
          <w:sz w:val="36"/>
          <w:szCs w:val="36"/>
          <w:highlight w:val="none"/>
        </w:rPr>
      </w:pPr>
      <w:r>
        <w:rPr>
          <w:rFonts w:hint="eastAsia" w:ascii="宋体" w:hAnsi="宋体" w:eastAsia="宋体" w:cs="宋体"/>
          <w:kern w:val="0"/>
          <w:sz w:val="24"/>
          <w:highlight w:val="none"/>
        </w:rPr>
        <w:br w:type="page"/>
      </w:r>
      <w:r>
        <w:rPr>
          <w:rFonts w:hint="eastAsia" w:ascii="宋体" w:hAnsi="宋体" w:eastAsia="宋体" w:cs="宋体"/>
          <w:b/>
          <w:bCs/>
          <w:sz w:val="36"/>
          <w:szCs w:val="36"/>
          <w:highlight w:val="none"/>
        </w:rPr>
        <w:t>第五章  合同主要条款</w:t>
      </w:r>
    </w:p>
    <w:p w14:paraId="5AE00C41">
      <w:pPr>
        <w:spacing w:line="360" w:lineRule="auto"/>
        <w:jc w:val="center"/>
        <w:rPr>
          <w:rFonts w:hint="eastAsia" w:ascii="宋体" w:hAnsi="宋体" w:eastAsia="宋体" w:cs="宋体"/>
          <w:kern w:val="0"/>
          <w:sz w:val="36"/>
          <w:szCs w:val="36"/>
          <w:highlight w:val="none"/>
          <w:lang w:val="zh-TW" w:bidi="zh-TW"/>
        </w:rPr>
      </w:pPr>
    </w:p>
    <w:p w14:paraId="680D1D21">
      <w:pPr>
        <w:pStyle w:val="45"/>
        <w:spacing w:line="400" w:lineRule="exact"/>
        <w:jc w:val="center"/>
        <w:rPr>
          <w:rFonts w:hint="eastAsia" w:ascii="宋体" w:hAnsi="宋体" w:eastAsia="宋体" w:cs="宋体"/>
          <w:b/>
          <w:bCs w:val="0"/>
          <w:sz w:val="36"/>
          <w:szCs w:val="36"/>
          <w:highlight w:val="none"/>
          <w:lang w:eastAsia="zh-CN"/>
        </w:rPr>
      </w:pPr>
      <w:bookmarkStart w:id="46" w:name="_Toc513029243"/>
      <w:bookmarkStart w:id="47" w:name="_Toc16938559"/>
      <w:bookmarkStart w:id="48" w:name="_Toc20823315"/>
      <w:r>
        <w:rPr>
          <w:rFonts w:hint="eastAsia" w:ascii="宋体" w:hAnsi="宋体" w:eastAsia="宋体" w:cs="宋体"/>
          <w:b/>
          <w:bCs w:val="0"/>
          <w:sz w:val="36"/>
          <w:szCs w:val="36"/>
          <w:highlight w:val="none"/>
          <w:lang w:val="en-US" w:eastAsia="zh-CN"/>
        </w:rPr>
        <w:t>物业劳务分包</w:t>
      </w:r>
      <w:r>
        <w:rPr>
          <w:rFonts w:hint="eastAsia" w:ascii="宋体" w:hAnsi="宋体" w:eastAsia="宋体" w:cs="宋体"/>
          <w:b/>
          <w:bCs w:val="0"/>
          <w:sz w:val="36"/>
          <w:szCs w:val="36"/>
          <w:highlight w:val="none"/>
          <w:lang w:val="zh-CN" w:eastAsia="zh-CN"/>
        </w:rPr>
        <w:t>合同</w:t>
      </w:r>
    </w:p>
    <w:p w14:paraId="6EB80439">
      <w:pPr>
        <w:pStyle w:val="45"/>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甲    方：</w:t>
      </w:r>
      <w:r>
        <w:rPr>
          <w:rFonts w:hint="eastAsia" w:ascii="宋体" w:hAnsi="宋体" w:eastAsia="宋体" w:cs="宋体"/>
          <w:b/>
          <w:bCs/>
          <w:sz w:val="24"/>
          <w:szCs w:val="24"/>
          <w:highlight w:val="none"/>
          <w:lang w:val="en-US" w:eastAsia="zh-CN" w:bidi="ar-SA"/>
        </w:rPr>
        <w:t>南通中宏环境发展有限公司</w:t>
      </w:r>
    </w:p>
    <w:p w14:paraId="1AA2FCDA">
      <w:pPr>
        <w:pStyle w:val="358"/>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乙    方：</w:t>
      </w:r>
    </w:p>
    <w:p w14:paraId="1A6C69D1">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鉴于甲方承接了</w:t>
      </w:r>
      <w:r>
        <w:rPr>
          <w:rFonts w:hint="eastAsia" w:ascii="宋体" w:hAnsi="宋体" w:eastAsia="宋体" w:cs="宋体"/>
          <w:kern w:val="0"/>
          <w:sz w:val="24"/>
          <w:szCs w:val="24"/>
          <w:highlight w:val="none"/>
          <w:lang w:val="en-US" w:eastAsia="zh-CN" w:bidi="ar-SA"/>
        </w:rPr>
        <w:t>体育中心物业管理服务项目，且拟将物业服务区域内的部分劳务服务事项委托给乙方具体实施，</w:t>
      </w:r>
      <w:r>
        <w:rPr>
          <w:rFonts w:hint="eastAsia" w:ascii="宋体" w:hAnsi="宋体" w:eastAsia="宋体" w:cs="宋体"/>
          <w:sz w:val="24"/>
          <w:szCs w:val="24"/>
          <w:highlight w:val="none"/>
        </w:rPr>
        <w:t>根据《中华人民共和国民法典》</w:t>
      </w:r>
      <w:r>
        <w:rPr>
          <w:rFonts w:hint="eastAsia" w:ascii="宋体" w:hAnsi="宋体" w:eastAsia="宋体" w:cs="宋体"/>
          <w:sz w:val="24"/>
          <w:szCs w:val="24"/>
          <w:highlight w:val="none"/>
          <w:lang w:val="en-US" w:eastAsia="zh-CN"/>
        </w:rPr>
        <w:t>等法律法规的相关规定</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bidi="ar-SA"/>
        </w:rPr>
        <w:t>甲乙双方</w:t>
      </w:r>
      <w:r>
        <w:rPr>
          <w:rFonts w:hint="eastAsia" w:ascii="宋体" w:hAnsi="宋体" w:eastAsia="宋体" w:cs="宋体"/>
          <w:sz w:val="24"/>
          <w:szCs w:val="24"/>
          <w:highlight w:val="none"/>
        </w:rPr>
        <w:t>经协商，本着平等互利和诚实信用的原则，一致同意签订本合同。</w:t>
      </w:r>
    </w:p>
    <w:p w14:paraId="5734C3D7">
      <w:pPr>
        <w:pStyle w:val="45"/>
        <w:keepNext w:val="0"/>
        <w:keepLines w:val="0"/>
        <w:pageBreakBefore w:val="0"/>
        <w:widowControl w:val="0"/>
        <w:kinsoku/>
        <w:wordWrap/>
        <w:overflowPunct/>
        <w:topLinePunct w:val="0"/>
        <w:autoSpaceDE/>
        <w:autoSpaceDN/>
        <w:bidi w:val="0"/>
        <w:adjustRightInd/>
        <w:spacing w:line="480" w:lineRule="exact"/>
        <w:textAlignment w:val="auto"/>
        <w:outlineLvl w:val="2"/>
        <w:rPr>
          <w:rFonts w:hint="eastAsia" w:ascii="宋体" w:hAnsi="宋体" w:eastAsia="宋体" w:cs="宋体"/>
          <w:b/>
          <w:color w:val="000000"/>
          <w:sz w:val="24"/>
          <w:szCs w:val="24"/>
          <w:highlight w:val="none"/>
        </w:rPr>
      </w:pPr>
      <w:bookmarkStart w:id="49" w:name="_Toc41915177"/>
      <w:bookmarkStart w:id="50" w:name="_Toc381952289"/>
      <w:r>
        <w:rPr>
          <w:rFonts w:hint="eastAsia" w:ascii="宋体" w:hAnsi="宋体" w:eastAsia="宋体" w:cs="宋体"/>
          <w:b/>
          <w:color w:val="000000"/>
          <w:sz w:val="24"/>
          <w:szCs w:val="24"/>
          <w:highlight w:val="none"/>
        </w:rPr>
        <w:t>一、 项目概况</w:t>
      </w:r>
      <w:bookmarkEnd w:id="49"/>
    </w:p>
    <w:p w14:paraId="492E0B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1.项目名称：体育中心项目物业劳务                    </w:t>
      </w:r>
    </w:p>
    <w:p w14:paraId="6BA0FC4F">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2.分包内容：提供体育中心物业管理服务项目中所涉及的劳务人员。</w:t>
      </w:r>
    </w:p>
    <w:p w14:paraId="3F69B23D">
      <w:pPr>
        <w:pStyle w:val="360"/>
        <w:keepNext w:val="0"/>
        <w:keepLines w:val="0"/>
        <w:pageBreakBefore w:val="0"/>
        <w:widowControl w:val="0"/>
        <w:kinsoku/>
        <w:wordWrap/>
        <w:overflowPunct/>
        <w:topLinePunct w:val="0"/>
        <w:autoSpaceDE/>
        <w:autoSpaceDN/>
        <w:bidi w:val="0"/>
        <w:adjustRightInd/>
        <w:spacing w:line="480" w:lineRule="exact"/>
        <w:ind w:firstLine="420" w:firstLineChars="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3.合同总价（含税）为人民币大写：</w:t>
      </w:r>
      <w:r>
        <w:rPr>
          <w:rFonts w:hint="eastAsia"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none"/>
          <w:lang w:val="en-US" w:eastAsia="zh-CN" w:bidi="ar-SA"/>
        </w:rPr>
        <w:t>元</w:t>
      </w:r>
      <w:r>
        <w:rPr>
          <w:rFonts w:hint="eastAsia" w:ascii="宋体" w:hAnsi="宋体" w:eastAsia="宋体" w:cs="宋体"/>
          <w:kern w:val="0"/>
          <w:sz w:val="24"/>
          <w:szCs w:val="24"/>
          <w:highlight w:val="none"/>
          <w:lang w:val="en-US" w:eastAsia="zh-CN" w:bidi="ar-SA"/>
        </w:rPr>
        <w:t>（¥</w:t>
      </w:r>
      <w:r>
        <w:rPr>
          <w:rFonts w:hint="eastAsia"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元），税率为</w:t>
      </w:r>
      <w:r>
        <w:rPr>
          <w:rFonts w:hint="eastAsia" w:ascii="宋体" w:hAnsi="宋体" w:eastAsia="宋体" w:cs="宋体"/>
          <w:kern w:val="0"/>
          <w:sz w:val="24"/>
          <w:szCs w:val="24"/>
          <w:highlight w:val="none"/>
          <w:u w:val="single"/>
          <w:lang w:val="en-US" w:eastAsia="zh-CN" w:bidi="ar-SA"/>
        </w:rPr>
        <w:t xml:space="preserve"> </w:t>
      </w:r>
      <w:r>
        <w:rPr>
          <w:rFonts w:hint="eastAsia"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lang w:val="en-US" w:eastAsia="zh-CN" w:bidi="ar-SA"/>
        </w:rPr>
        <w:t>%。</w:t>
      </w:r>
    </w:p>
    <w:p w14:paraId="37651B2C">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本分包项目实行总价包干，上述合同总价应包含但不限于如下内容：</w:t>
      </w:r>
    </w:p>
    <w:p w14:paraId="4004E5C7">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（1）按照物业服务收费指导标准，报出每年总报价和分项报价，包括人员工资、福利、社保费（养老保险、失业保险、医疗保险等）、员工培训费、员工服装费（春秋装、夏装、冬装各两 套）、各类证照证件办理费用、管理费、宣传费用、日常安保、工程、保洁物耗；</w:t>
      </w:r>
    </w:p>
    <w:p w14:paraId="1F67CFA1">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（2）乙方为其物业服务从业人员配置的劳保用品、租赁的生活用房、交通工具、餐饮、水电开支、公共福利费用等；</w:t>
      </w:r>
    </w:p>
    <w:p w14:paraId="26AAC27B">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（3）为完成本合同约定的服务内容而由乙方应当支付的各项成本、费用、消耗；</w:t>
      </w:r>
    </w:p>
    <w:p w14:paraId="60C3B994">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（4）乙方按照国家规定应当交纳的各种税、费、基金、公益事业支出等；</w:t>
      </w:r>
    </w:p>
    <w:p w14:paraId="753E0D9A">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（5）每年1次外墙清洗费用；</w:t>
      </w:r>
    </w:p>
    <w:p w14:paraId="3744B03A">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（6）设施设备专业养护费用及维修物耗（单项维修1000元内，不含人工由乙方承担），日常维修单项物耗范围以外的部分由业主方按实际发生额承付；</w:t>
      </w:r>
    </w:p>
    <w:p w14:paraId="4583AA6F">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（7）会务服务除人员相关费用及日常会务物耗范围以外的其他费用均由业主方（或承办方）承担。管理、服务人员的工资、按规定提取的保险和福利费及国家地方规定必须缴纳的费用；</w:t>
      </w:r>
    </w:p>
    <w:p w14:paraId="7252C37C">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（8）公司合理利润；</w:t>
      </w:r>
    </w:p>
    <w:p w14:paraId="61D63CB2">
      <w:pPr>
        <w:pStyle w:val="359"/>
        <w:keepNext w:val="0"/>
        <w:keepLines w:val="0"/>
        <w:pageBreakBefore w:val="0"/>
        <w:widowControl w:val="0"/>
        <w:kinsoku/>
        <w:wordWrap/>
        <w:overflowPunct/>
        <w:topLinePunct w:val="0"/>
        <w:autoSpaceDE/>
        <w:autoSpaceDN/>
        <w:bidi w:val="0"/>
        <w:adjustRightInd/>
        <w:spacing w:line="480" w:lineRule="exact"/>
        <w:textAlignment w:val="auto"/>
        <w:rPr>
          <w:rStyle w:val="356"/>
          <w:rFonts w:hint="eastAsia" w:ascii="宋体" w:hAnsi="宋体" w:eastAsia="宋体" w:cs="宋体"/>
          <w:b/>
          <w:bCs/>
          <w:sz w:val="24"/>
          <w:szCs w:val="24"/>
          <w:highlight w:val="none"/>
        </w:rPr>
      </w:pPr>
      <w:r>
        <w:rPr>
          <w:rStyle w:val="356"/>
          <w:rFonts w:hint="eastAsia" w:ascii="宋体" w:hAnsi="宋体" w:eastAsia="宋体" w:cs="宋体"/>
          <w:b/>
          <w:bCs/>
          <w:sz w:val="24"/>
          <w:szCs w:val="24"/>
          <w:highlight w:val="none"/>
        </w:rPr>
        <w:t>二、履约保证金</w:t>
      </w:r>
    </w:p>
    <w:p w14:paraId="6FD5A19C">
      <w:pPr>
        <w:pStyle w:val="360"/>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eastAsia="zh-CN"/>
        </w:rPr>
      </w:pPr>
      <w:bookmarkStart w:id="51" w:name="_Toc46837191"/>
      <w:r>
        <w:rPr>
          <w:rFonts w:hint="eastAsia" w:ascii="宋体" w:hAnsi="宋体" w:eastAsia="宋体" w:cs="宋体"/>
          <w:sz w:val="24"/>
          <w:szCs w:val="24"/>
          <w:highlight w:val="none"/>
        </w:rPr>
        <w:t>本合同签订之日起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个工作日内，乙方应向甲方缴纳履约保证金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人民币</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bookmarkEnd w:id="51"/>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合同价的10%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shd w:val="clear" w:color="auto" w:fill="auto"/>
        </w:rPr>
        <w:t>收款人：</w:t>
      </w:r>
      <w:r>
        <w:rPr>
          <w:rFonts w:hint="eastAsia" w:ascii="宋体" w:hAnsi="宋体" w:eastAsia="宋体" w:cs="宋体"/>
          <w:sz w:val="24"/>
          <w:szCs w:val="24"/>
          <w:highlight w:val="none"/>
          <w:shd w:val="clear" w:color="auto" w:fill="auto"/>
          <w:lang w:val="en-US" w:eastAsia="zh-CN"/>
        </w:rPr>
        <w:t>南通中宏环境发展有限公司</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账号：0611270000000444</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开户行：南京银行通州支行。</w:t>
      </w:r>
      <w:r>
        <w:rPr>
          <w:rFonts w:hint="eastAsia" w:ascii="宋体" w:hAnsi="宋体" w:eastAsia="宋体" w:cs="宋体"/>
          <w:sz w:val="24"/>
          <w:szCs w:val="24"/>
          <w:highlight w:val="none"/>
        </w:rPr>
        <w:t>合同期满</w:t>
      </w:r>
      <w:r>
        <w:rPr>
          <w:rFonts w:hint="eastAsia" w:ascii="宋体" w:hAnsi="宋体" w:eastAsia="宋体" w:cs="宋体"/>
          <w:sz w:val="24"/>
          <w:szCs w:val="24"/>
          <w:highlight w:val="none"/>
          <w:lang w:val="en-US" w:eastAsia="zh-CN"/>
        </w:rPr>
        <w:t>或提前解除后，在乙方撤场并办理完毕交接手续且</w:t>
      </w:r>
      <w:r>
        <w:rPr>
          <w:rFonts w:hint="eastAsia" w:ascii="宋体" w:hAnsi="宋体" w:eastAsia="宋体" w:cs="宋体"/>
          <w:sz w:val="24"/>
          <w:szCs w:val="24"/>
          <w:highlight w:val="none"/>
        </w:rPr>
        <w:t>乙方无任何违约责任</w:t>
      </w:r>
      <w:r>
        <w:rPr>
          <w:rFonts w:hint="eastAsia" w:ascii="宋体" w:hAnsi="宋体" w:eastAsia="宋体" w:cs="宋体"/>
          <w:sz w:val="24"/>
          <w:szCs w:val="24"/>
          <w:highlight w:val="none"/>
          <w:lang w:val="en-US" w:eastAsia="zh-CN"/>
        </w:rPr>
        <w:t>的情况下</w:t>
      </w:r>
      <w:r>
        <w:rPr>
          <w:rFonts w:hint="eastAsia" w:ascii="宋体" w:hAnsi="宋体" w:eastAsia="宋体" w:cs="宋体"/>
          <w:sz w:val="24"/>
          <w:szCs w:val="24"/>
          <w:highlight w:val="none"/>
        </w:rPr>
        <w:t>，甲方将扣除相关费用、违约金之后的剩余保证金无息退还给乙方。</w:t>
      </w:r>
    </w:p>
    <w:p w14:paraId="0552F448">
      <w:pPr>
        <w:pStyle w:val="358"/>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三、服务期限及实施地点</w:t>
      </w:r>
    </w:p>
    <w:p w14:paraId="3D3D4C64">
      <w:pPr>
        <w:pStyle w:val="360"/>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lang w:val="en-US" w:eastAsia="zh-CN"/>
        </w:rPr>
        <w:t>自</w:t>
      </w:r>
      <w:bookmarkStart w:id="59" w:name="_GoBack"/>
      <w:bookmarkEnd w:id="59"/>
      <w:r>
        <w:rPr>
          <w:rFonts w:hint="eastAsia" w:hAnsi="宋体" w:cs="宋体"/>
          <w:sz w:val="24"/>
          <w:szCs w:val="24"/>
          <w:highlight w:val="none"/>
          <w:u w:val="single"/>
          <w:lang w:eastAsia="zh-CN"/>
        </w:rPr>
        <w:t>2026</w:t>
      </w:r>
      <w:r>
        <w:rPr>
          <w:rFonts w:hint="eastAsia" w:ascii="宋体" w:hAnsi="宋体" w:eastAsia="宋体" w:cs="宋体"/>
          <w:sz w:val="24"/>
          <w:szCs w:val="24"/>
          <w:highlight w:val="none"/>
          <w:u w:val="single"/>
        </w:rPr>
        <w:t>年</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eastAsia="zh-CN"/>
        </w:rPr>
        <w:t>起</w:t>
      </w:r>
      <w:r>
        <w:rPr>
          <w:rFonts w:hint="eastAsia" w:ascii="宋体" w:hAnsi="宋体" w:eastAsia="宋体" w:cs="宋体"/>
          <w:sz w:val="24"/>
          <w:szCs w:val="24"/>
          <w:highlight w:val="none"/>
          <w:u w:val="single"/>
        </w:rPr>
        <w:t>至202</w:t>
      </w:r>
      <w:r>
        <w:rPr>
          <w:rFonts w:hint="eastAsia" w:hAnsi="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hAnsi="宋体" w:cs="宋体"/>
          <w:sz w:val="24"/>
          <w:szCs w:val="24"/>
          <w:highlight w:val="none"/>
          <w:u w:val="single"/>
          <w:lang w:val="en-US" w:eastAsia="zh-CN"/>
        </w:rPr>
        <w:t>12</w:t>
      </w:r>
      <w:r>
        <w:rPr>
          <w:rFonts w:hint="eastAsia" w:ascii="宋体" w:hAnsi="宋体" w:eastAsia="宋体" w:cs="宋体"/>
          <w:sz w:val="24"/>
          <w:szCs w:val="24"/>
          <w:highlight w:val="none"/>
          <w:u w:val="single"/>
        </w:rPr>
        <w:t>月</w:t>
      </w:r>
      <w:r>
        <w:rPr>
          <w:rFonts w:hint="eastAsia" w:hAnsi="宋体" w:cs="宋体"/>
          <w:sz w:val="24"/>
          <w:szCs w:val="24"/>
          <w:highlight w:val="none"/>
          <w:u w:val="single"/>
          <w:lang w:val="en-US" w:eastAsia="zh-CN"/>
        </w:rPr>
        <w:t>31</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none"/>
          <w:lang w:eastAsia="zh-CN"/>
        </w:rPr>
        <w:t>。</w:t>
      </w:r>
    </w:p>
    <w:p w14:paraId="6513ADAF">
      <w:pPr>
        <w:pStyle w:val="360"/>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项目服务地点：</w:t>
      </w:r>
      <w:r>
        <w:rPr>
          <w:rFonts w:hint="eastAsia" w:ascii="宋体" w:hAnsi="宋体" w:eastAsia="宋体" w:cs="宋体"/>
          <w:kern w:val="0"/>
          <w:sz w:val="24"/>
          <w:szCs w:val="24"/>
          <w:highlight w:val="none"/>
          <w:lang w:val="en-US" w:eastAsia="zh-CN" w:bidi="ar-SA"/>
        </w:rPr>
        <w:t>体育中心项目</w:t>
      </w:r>
      <w:r>
        <w:rPr>
          <w:rFonts w:hint="eastAsia" w:ascii="宋体" w:hAnsi="宋体" w:eastAsia="宋体" w:cs="宋体"/>
          <w:sz w:val="24"/>
          <w:szCs w:val="24"/>
          <w:highlight w:val="none"/>
        </w:rPr>
        <w:t xml:space="preserve">‌。            </w:t>
      </w:r>
    </w:p>
    <w:bookmarkEnd w:id="50"/>
    <w:p w14:paraId="0E368FF6">
      <w:pPr>
        <w:pStyle w:val="358"/>
        <w:keepNext w:val="0"/>
        <w:keepLines w:val="0"/>
        <w:pageBreakBefore w:val="0"/>
        <w:widowControl w:val="0"/>
        <w:kinsoku/>
        <w:wordWrap/>
        <w:overflowPunct/>
        <w:topLinePunct w:val="0"/>
        <w:autoSpaceDE/>
        <w:autoSpaceDN/>
        <w:bidi w:val="0"/>
        <w:adjustRightInd/>
        <w:spacing w:line="480" w:lineRule="exact"/>
        <w:ind w:left="700" w:hanging="695"/>
        <w:textAlignment w:val="auto"/>
        <w:rPr>
          <w:rFonts w:hint="eastAsia" w:ascii="宋体" w:hAnsi="宋体" w:eastAsia="宋体" w:cs="宋体"/>
          <w:b/>
          <w:sz w:val="24"/>
          <w:szCs w:val="24"/>
          <w:highlight w:val="none"/>
        </w:rPr>
      </w:pPr>
      <w:bookmarkStart w:id="52" w:name="_Toc381952290"/>
      <w:bookmarkStart w:id="53" w:name="_Toc41915179"/>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en-US" w:eastAsia="zh-CN"/>
        </w:rPr>
        <w:t>结算</w:t>
      </w:r>
      <w:r>
        <w:rPr>
          <w:rFonts w:hint="eastAsia" w:ascii="宋体" w:hAnsi="宋体" w:eastAsia="宋体" w:cs="宋体"/>
          <w:b/>
          <w:sz w:val="24"/>
          <w:szCs w:val="24"/>
          <w:highlight w:val="none"/>
        </w:rPr>
        <w:t>方式</w:t>
      </w:r>
    </w:p>
    <w:p w14:paraId="780A0E60">
      <w:pPr>
        <w:pStyle w:val="358"/>
        <w:keepNext w:val="0"/>
        <w:keepLines w:val="0"/>
        <w:pageBreakBefore w:val="0"/>
        <w:widowControl w:val="0"/>
        <w:kinsoku/>
        <w:wordWrap/>
        <w:overflowPunct/>
        <w:topLinePunct w:val="0"/>
        <w:autoSpaceDE/>
        <w:autoSpaceDN/>
        <w:bidi w:val="0"/>
        <w:adjustRightInd/>
        <w:spacing w:line="480" w:lineRule="exact"/>
        <w:ind w:firstLine="424"/>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每季度甲方对乙方履行合同情况进行检查考核，并根据检查考核结果结算支付物业管理费，检查考核达95分及以上的，按合同约定支付相应服务管理费；检查考核95分以下的，每降低1分扣除应付合同金额的1%。甲方在业主资金到位后于下一季度第一个月的15日前以转账方式将应付物业服务管理费支付至乙方指定账户。甲方每半年对乙方进行内部初审，初审结果达不到规定标准的，甲方有权书面要求乙方在规定期限内整改且暂停支付物业管理费（如有）, 整改合格后，方可继续支付。若乙方逾期未整改或虽整改但仍未符合要求的，属于乙方违约，甲方有权单方解除合同，并全部没收乙方的履约保证金，以补偿甲方的损失。</w:t>
      </w:r>
    </w:p>
    <w:p w14:paraId="2A3C2BA2">
      <w:pPr>
        <w:pStyle w:val="360"/>
        <w:keepNext w:val="0"/>
        <w:keepLines w:val="0"/>
        <w:pageBreakBefore w:val="0"/>
        <w:widowControl w:val="0"/>
        <w:kinsoku/>
        <w:wordWrap/>
        <w:overflowPunct/>
        <w:topLinePunct w:val="0"/>
        <w:autoSpaceDE/>
        <w:autoSpaceDN/>
        <w:bidi w:val="0"/>
        <w:adjustRightInd/>
        <w:spacing w:line="480" w:lineRule="exact"/>
        <w:ind w:firstLine="42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发票开具方式：乙方应在申请付款前向甲方提供符合要求的税务票据，否则甲方有权拒付且不承担任何违约责任。</w:t>
      </w:r>
    </w:p>
    <w:p w14:paraId="6D32709D">
      <w:pPr>
        <w:pStyle w:val="360"/>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五、协调人员</w:t>
      </w:r>
    </w:p>
    <w:p w14:paraId="54A5788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1. 甲方委派协调人员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，联系电话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25B32B3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 乙方</w:t>
      </w:r>
      <w:r>
        <w:rPr>
          <w:rFonts w:hint="eastAsia" w:ascii="宋体" w:hAnsi="宋体" w:eastAsia="宋体" w:cs="宋体"/>
          <w:sz w:val="24"/>
          <w:szCs w:val="24"/>
          <w:highlight w:val="none"/>
          <w:lang w:val="en-US" w:eastAsia="zh-CN"/>
        </w:rPr>
        <w:t>委派协调人员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，联系电话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7C84D1E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服务内容</w:t>
      </w:r>
    </w:p>
    <w:p w14:paraId="512E711C">
      <w:pPr>
        <w:pStyle w:val="45"/>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（一）一般约定：</w:t>
      </w:r>
    </w:p>
    <w:p w14:paraId="258DE8F6">
      <w:pPr>
        <w:pStyle w:val="4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1.监督项目进展：协助甲方定期召开项目进度会议，跟踪项目进展情况，及时解决项目中出现的问题和风险。</w:t>
      </w:r>
    </w:p>
    <w:p w14:paraId="493C74FC">
      <w:pPr>
        <w:pStyle w:val="4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2.协调沟通：与业主、施工方、维保单位等相关方进行沟通和协调，与甲方共同解决项目中的技术、质量和进度问题。</w:t>
      </w:r>
    </w:p>
    <w:p w14:paraId="6CE71D50">
      <w:pPr>
        <w:pStyle w:val="4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3.控制成本：配合甲方项目成本控制，合理安排资金使用，避免项目超支。</w:t>
      </w:r>
    </w:p>
    <w:p w14:paraId="520357B9">
      <w:pPr>
        <w:pStyle w:val="4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4.管理安全：与甲方共同制定安全管理计划，确保项目施工过程安全可靠，预防事故的发生。</w:t>
      </w:r>
    </w:p>
    <w:p w14:paraId="1F0D6079">
      <w:pPr>
        <w:pStyle w:val="45"/>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（二）专项约定：</w:t>
      </w:r>
    </w:p>
    <w:bookmarkEnd w:id="52"/>
    <w:bookmarkEnd w:id="53"/>
    <w:p w14:paraId="2F0FCD25">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bookmarkStart w:id="54" w:name="_Toc381952291"/>
      <w:bookmarkStart w:id="55" w:name="_Toc41915180"/>
      <w:r>
        <w:rPr>
          <w:rFonts w:hint="eastAsia" w:ascii="宋体" w:hAnsi="宋体" w:eastAsia="宋体" w:cs="宋体"/>
          <w:sz w:val="24"/>
          <w:szCs w:val="24"/>
          <w:highlight w:val="none"/>
          <w:lang w:val="en-US" w:eastAsia="zh-CN" w:bidi="ar-SA"/>
        </w:rPr>
        <w:t>1.清洁卫生，包括室内及房屋公共部位的清洁（如室内外运动场地、楼梯及楼梯间、电梯间、门厅、走廊通道、户外路面、玻璃门窗(室内一面)，会议室、卫生间、地下停车场、绿化带内杂物的清理及所有设备房）；灭鼠、灭蟑工作要与市灭四害管理部门签订达标协议。</w:t>
      </w:r>
    </w:p>
    <w:p w14:paraId="42503C25">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2.工程水电设施、设备的维修、养护、运行和管理，包括：供电、供水、排水、排污，照明、背景音乐、消防系统、供配电系统、电梯、监控室、安防系统等（游泳设备维修、保养除外）。</w:t>
      </w:r>
    </w:p>
    <w:p w14:paraId="35A47DE0">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3.24小时维护公共秩序值班，包括门岗执勤、巡视、监控、防盗、防火、灭火，在紧急情况下组织人员疏散；消防设备的日常清洁维护。</w:t>
      </w:r>
    </w:p>
    <w:p w14:paraId="5163BCDD">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4.贵宾室、会议室、接待室等场所会务接待、服务、保洁及音响设备的操作及维护。</w:t>
      </w:r>
    </w:p>
    <w:p w14:paraId="2F60F9CC">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5.提供物业业主单位（体育中心）开展运营所需的非全日制临时用工，每月需支付临时用工费用为21880元（详见业主方(体育中心)提供的具体岗位费用明细），该费用已包括合同总价中。</w:t>
      </w:r>
    </w:p>
    <w:p w14:paraId="5B018801">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6.如因工作需要在法定节假日进行加班的，由业主方（体育中心）提供加班表，业主方按照100元/人/次支付加班费用后，甲方按到账的加班费（如有税差乙方贴补）支付乙方。</w:t>
      </w:r>
    </w:p>
    <w:p w14:paraId="0634552C">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7.其他服务内容：</w:t>
      </w:r>
    </w:p>
    <w:p w14:paraId="40EF07C1">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（1）定期于每月5日前向业主汇报上月物业管理总体情况。</w:t>
      </w:r>
    </w:p>
    <w:p w14:paraId="202FAAA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（2）不得擅自占用和改变公用设施的实用功能，如需完善或扩建，须与甲方协商，经甲方同意后方可实施。</w:t>
      </w:r>
    </w:p>
    <w:p w14:paraId="15B467D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8.物业档案资料管理及给予业主管理资料备份；</w:t>
      </w:r>
    </w:p>
    <w:p w14:paraId="7C4FC0D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9.甲乙双方协商后，认为有必要交给物业公司管理的其他项目；</w:t>
      </w:r>
    </w:p>
    <w:p w14:paraId="6AAFB5C2">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10.甲方认可的，乙方在投标文件中承诺的其他事项；</w:t>
      </w:r>
    </w:p>
    <w:p w14:paraId="1A9BCB85">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11.完成甲方安排的临时工作。</w:t>
      </w:r>
    </w:p>
    <w:p w14:paraId="78D0A7B0">
      <w:pPr>
        <w:pStyle w:val="358"/>
        <w:keepNext w:val="0"/>
        <w:keepLines w:val="0"/>
        <w:pageBreakBefore w:val="0"/>
        <w:widowControl w:val="0"/>
        <w:kinsoku/>
        <w:wordWrap/>
        <w:overflowPunct/>
        <w:topLinePunct w:val="0"/>
        <w:autoSpaceDE/>
        <w:autoSpaceDN/>
        <w:bidi w:val="0"/>
        <w:adjustRightInd/>
        <w:spacing w:line="480" w:lineRule="exact"/>
        <w:textAlignment w:val="auto"/>
        <w:rPr>
          <w:rStyle w:val="356"/>
          <w:rFonts w:hint="eastAsia" w:ascii="宋体" w:hAnsi="宋体" w:eastAsia="宋体" w:cs="宋体"/>
          <w:b/>
          <w:bCs/>
          <w:sz w:val="24"/>
          <w:szCs w:val="24"/>
          <w:highlight w:val="none"/>
        </w:rPr>
      </w:pPr>
      <w:r>
        <w:rPr>
          <w:rStyle w:val="356"/>
          <w:rFonts w:hint="eastAsia" w:ascii="宋体" w:hAnsi="宋体" w:eastAsia="宋体" w:cs="宋体"/>
          <w:b/>
          <w:bCs/>
          <w:sz w:val="24"/>
          <w:szCs w:val="24"/>
          <w:highlight w:val="none"/>
          <w:lang w:val="en-US" w:eastAsia="zh-CN"/>
        </w:rPr>
        <w:t>七、</w:t>
      </w:r>
      <w:r>
        <w:rPr>
          <w:rStyle w:val="356"/>
          <w:rFonts w:hint="eastAsia" w:ascii="宋体" w:hAnsi="宋体" w:eastAsia="宋体" w:cs="宋体"/>
          <w:b/>
          <w:bCs/>
          <w:sz w:val="24"/>
          <w:szCs w:val="24"/>
          <w:highlight w:val="none"/>
        </w:rPr>
        <w:t>甲乙双方的权利义务</w:t>
      </w:r>
    </w:p>
    <w:p w14:paraId="76D31CC3">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rPr>
        <w:t>（一）甲方的权利和义务</w:t>
      </w:r>
    </w:p>
    <w:p w14:paraId="30709B83">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1.</w:t>
      </w:r>
      <w:r>
        <w:rPr>
          <w:rStyle w:val="356"/>
          <w:rFonts w:hint="eastAsia" w:ascii="宋体" w:hAnsi="宋体" w:eastAsia="宋体" w:cs="宋体"/>
          <w:sz w:val="24"/>
          <w:szCs w:val="24"/>
          <w:highlight w:val="none"/>
        </w:rPr>
        <w:t>审议乙方提交的物业管理服务方案及管理制度。</w:t>
      </w:r>
    </w:p>
    <w:p w14:paraId="79635F00">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2.</w:t>
      </w:r>
      <w:r>
        <w:rPr>
          <w:rStyle w:val="356"/>
          <w:rFonts w:hint="eastAsia" w:ascii="宋体" w:hAnsi="宋体" w:eastAsia="宋体" w:cs="宋体"/>
          <w:sz w:val="24"/>
          <w:szCs w:val="24"/>
          <w:highlight w:val="none"/>
        </w:rPr>
        <w:t>审议乙方提出的物业管理服务年度计划。</w:t>
      </w:r>
    </w:p>
    <w:p w14:paraId="627350F7">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3.</w:t>
      </w:r>
      <w:r>
        <w:rPr>
          <w:rStyle w:val="356"/>
          <w:rFonts w:hint="eastAsia" w:ascii="宋体" w:hAnsi="宋体" w:eastAsia="宋体" w:cs="宋体"/>
          <w:sz w:val="24"/>
          <w:szCs w:val="24"/>
          <w:highlight w:val="none"/>
        </w:rPr>
        <w:t>监督并配合乙方服务管理工作的实施及制度的执行。</w:t>
      </w:r>
    </w:p>
    <w:p w14:paraId="5A3BDF4E">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4.</w:t>
      </w:r>
      <w:r>
        <w:rPr>
          <w:rStyle w:val="356"/>
          <w:rFonts w:hint="eastAsia" w:ascii="宋体" w:hAnsi="宋体" w:eastAsia="宋体" w:cs="宋体"/>
          <w:sz w:val="24"/>
          <w:szCs w:val="24"/>
          <w:highlight w:val="none"/>
        </w:rPr>
        <w:t>甲方就本合同内的各物业向乙方的物业管理处无偿提供具备办公条件的物业管理办公室</w:t>
      </w:r>
      <w:r>
        <w:rPr>
          <w:rStyle w:val="356"/>
          <w:rFonts w:hint="eastAsia" w:ascii="宋体" w:hAnsi="宋体" w:eastAsia="宋体" w:cs="宋体"/>
          <w:sz w:val="24"/>
          <w:szCs w:val="24"/>
          <w:highlight w:val="none"/>
          <w:lang w:eastAsia="zh-CN"/>
        </w:rPr>
        <w:t>（</w:t>
      </w:r>
      <w:r>
        <w:rPr>
          <w:rStyle w:val="356"/>
          <w:rFonts w:hint="eastAsia" w:ascii="宋体" w:hAnsi="宋体" w:eastAsia="宋体" w:cs="宋体"/>
          <w:sz w:val="24"/>
          <w:szCs w:val="24"/>
          <w:highlight w:val="none"/>
        </w:rPr>
        <w:t>使用期至本合同约定的服务期限届满之日止</w:t>
      </w:r>
      <w:r>
        <w:rPr>
          <w:rStyle w:val="356"/>
          <w:rFonts w:hint="eastAsia" w:ascii="宋体" w:hAnsi="宋体" w:eastAsia="宋体" w:cs="宋体"/>
          <w:sz w:val="24"/>
          <w:szCs w:val="24"/>
          <w:highlight w:val="none"/>
          <w:lang w:eastAsia="zh-CN"/>
        </w:rPr>
        <w:t>）</w:t>
      </w:r>
      <w:r>
        <w:rPr>
          <w:rStyle w:val="356"/>
          <w:rFonts w:hint="eastAsia" w:ascii="宋体" w:hAnsi="宋体" w:eastAsia="宋体" w:cs="宋体"/>
          <w:sz w:val="24"/>
          <w:szCs w:val="24"/>
          <w:highlight w:val="none"/>
        </w:rPr>
        <w:t>。</w:t>
      </w:r>
    </w:p>
    <w:p w14:paraId="7F08BB55">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5.</w:t>
      </w:r>
      <w:r>
        <w:rPr>
          <w:rStyle w:val="356"/>
          <w:rFonts w:hint="eastAsia" w:ascii="宋体" w:hAnsi="宋体" w:eastAsia="宋体" w:cs="宋体"/>
          <w:sz w:val="24"/>
          <w:szCs w:val="24"/>
          <w:highlight w:val="none"/>
        </w:rPr>
        <w:t>负责处理非乙方管理原因而产生的各种纠纷和协调工作。</w:t>
      </w:r>
    </w:p>
    <w:p w14:paraId="3B070EBE">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6.</w:t>
      </w:r>
      <w:r>
        <w:rPr>
          <w:rStyle w:val="356"/>
          <w:rFonts w:hint="eastAsia" w:ascii="宋体" w:hAnsi="宋体" w:eastAsia="宋体" w:cs="宋体"/>
          <w:sz w:val="24"/>
          <w:szCs w:val="24"/>
          <w:highlight w:val="none"/>
        </w:rPr>
        <w:t>按合同规定支付乙方本合同所指物业的物业服务管理费。</w:t>
      </w:r>
    </w:p>
    <w:p w14:paraId="7DB0EA96">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7.</w:t>
      </w:r>
      <w:r>
        <w:rPr>
          <w:rStyle w:val="356"/>
          <w:rFonts w:hint="eastAsia" w:ascii="宋体" w:hAnsi="宋体" w:eastAsia="宋体" w:cs="宋体"/>
          <w:sz w:val="24"/>
          <w:szCs w:val="24"/>
          <w:highlight w:val="none"/>
        </w:rPr>
        <w:t>维护乙方权利和地位，保障乙方在涉及管理上的各种关系。</w:t>
      </w:r>
    </w:p>
    <w:p w14:paraId="7BCB4CC9">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8.</w:t>
      </w:r>
      <w:r>
        <w:rPr>
          <w:rStyle w:val="356"/>
          <w:rFonts w:hint="eastAsia" w:ascii="宋体" w:hAnsi="宋体" w:eastAsia="宋体" w:cs="宋体"/>
          <w:sz w:val="24"/>
          <w:szCs w:val="24"/>
          <w:highlight w:val="none"/>
        </w:rPr>
        <w:t>协调乙方在涉及管理上的各种关系。</w:t>
      </w:r>
    </w:p>
    <w:p w14:paraId="487DEABB">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9.</w:t>
      </w:r>
      <w:r>
        <w:rPr>
          <w:rStyle w:val="356"/>
          <w:rFonts w:hint="eastAsia" w:ascii="宋体" w:hAnsi="宋体" w:eastAsia="宋体" w:cs="宋体"/>
          <w:sz w:val="24"/>
          <w:szCs w:val="24"/>
          <w:highlight w:val="none"/>
        </w:rPr>
        <w:t>按合同规定负责配套设施设备的维护费用</w:t>
      </w:r>
      <w:r>
        <w:rPr>
          <w:rStyle w:val="356"/>
          <w:rFonts w:hint="eastAsia" w:ascii="宋体" w:hAnsi="宋体" w:eastAsia="宋体" w:cs="宋体"/>
          <w:sz w:val="24"/>
          <w:szCs w:val="24"/>
          <w:highlight w:val="none"/>
          <w:lang w:eastAsia="zh-CN"/>
        </w:rPr>
        <w:t>（</w:t>
      </w:r>
      <w:r>
        <w:rPr>
          <w:rStyle w:val="356"/>
          <w:rFonts w:hint="eastAsia" w:ascii="宋体" w:hAnsi="宋体" w:eastAsia="宋体" w:cs="宋体"/>
          <w:sz w:val="24"/>
          <w:szCs w:val="24"/>
          <w:highlight w:val="none"/>
        </w:rPr>
        <w:t>本合同约定的应由乙方承担的维修费用除外</w:t>
      </w:r>
      <w:r>
        <w:rPr>
          <w:rStyle w:val="356"/>
          <w:rFonts w:hint="eastAsia" w:ascii="宋体" w:hAnsi="宋体" w:eastAsia="宋体" w:cs="宋体"/>
          <w:sz w:val="24"/>
          <w:szCs w:val="24"/>
          <w:highlight w:val="none"/>
          <w:lang w:eastAsia="zh-CN"/>
        </w:rPr>
        <w:t>）</w:t>
      </w:r>
      <w:r>
        <w:rPr>
          <w:rStyle w:val="356"/>
          <w:rFonts w:hint="eastAsia" w:ascii="宋体" w:hAnsi="宋体" w:eastAsia="宋体" w:cs="宋体"/>
          <w:sz w:val="24"/>
          <w:szCs w:val="24"/>
          <w:highlight w:val="none"/>
        </w:rPr>
        <w:t>。</w:t>
      </w:r>
    </w:p>
    <w:p w14:paraId="7AB0A6EC">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10.</w:t>
      </w:r>
      <w:r>
        <w:rPr>
          <w:rStyle w:val="356"/>
          <w:rFonts w:hint="eastAsia" w:ascii="宋体" w:hAnsi="宋体" w:eastAsia="宋体" w:cs="宋体"/>
          <w:sz w:val="24"/>
          <w:szCs w:val="24"/>
          <w:highlight w:val="none"/>
        </w:rPr>
        <w:t>承担法律法规规定由甲方承担的其他责任。</w:t>
      </w:r>
    </w:p>
    <w:p w14:paraId="647D47B6">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rPr>
        <w:t xml:space="preserve"> （二）乙方的权利和义务</w:t>
      </w:r>
    </w:p>
    <w:bookmarkEnd w:id="54"/>
    <w:bookmarkEnd w:id="55"/>
    <w:p w14:paraId="24F9BAD4">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bookmarkStart w:id="56" w:name="_Toc381952295"/>
      <w:bookmarkStart w:id="57" w:name="_Toc41915184"/>
      <w:r>
        <w:rPr>
          <w:rStyle w:val="356"/>
          <w:rFonts w:hint="eastAsia" w:ascii="宋体" w:hAnsi="宋体" w:eastAsia="宋体" w:cs="宋体"/>
          <w:sz w:val="24"/>
          <w:szCs w:val="24"/>
          <w:highlight w:val="none"/>
          <w:lang w:val="en-US" w:eastAsia="zh-CN"/>
        </w:rPr>
        <w:t>1.按甲方要求时间做好物业人员的招聘、培训工作。并根据甲方要求时间接手进入，进入正常物业管理工作。</w:t>
      </w:r>
    </w:p>
    <w:p w14:paraId="4FAA09FF">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2.依照有关规定和本合同约定，制定物业服务管理制度，对物业及其环境、秩序进行管理。</w:t>
      </w:r>
    </w:p>
    <w:p w14:paraId="284CC818">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3.依照本合同约定向甲方收取物业服务管理费。</w:t>
      </w:r>
    </w:p>
    <w:p w14:paraId="1CEA3ABF">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4.建立物业项目管理档案。</w:t>
      </w:r>
    </w:p>
    <w:p w14:paraId="18E0B24F">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5.按照物业管理情况及要求进行养护、维修（单项维修1000元内，不含人工）、服务与管理。</w:t>
      </w:r>
    </w:p>
    <w:p w14:paraId="0888241F">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6.不得将本合同项下的服务内容再行转包、分包，一旦发现，甲方有权单方解除本合同，且乙方履约保证金不予退还。</w:t>
      </w:r>
    </w:p>
    <w:p w14:paraId="6825300D">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7.负责编制物业的年度日常维修养护计划，经双方议定后，由乙方组织实施。</w:t>
      </w:r>
    </w:p>
    <w:p w14:paraId="730BB106">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8.负责编制物业服务管理年度计划。</w:t>
      </w:r>
    </w:p>
    <w:p w14:paraId="67DB5186">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9.本合同终止乙方不再管理本物业时，必须向甲方移交全部借用的物品、管理用房及物业管理的全部档案资料。</w:t>
      </w:r>
    </w:p>
    <w:p w14:paraId="7860D564">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10.协助公安部门维护本物业管理区域内治安秩序、制止违法行为。在本物业管理区域内发生治安案件或者各类灾害事故时，应当及时向甲方或公安和有关部门报告，并协助做好调查和救助工作。</w:t>
      </w:r>
    </w:p>
    <w:p w14:paraId="06E81B1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11.因乙方未能履行本服务合同的约定，导致甲方人身、财产安全受到损害的，乙方应当依法承担相应的法律责任及经济赔偿。</w:t>
      </w:r>
    </w:p>
    <w:p w14:paraId="2EC91616">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12.乙方管理人员进行如下物业管理活动时，对甲方造成的财产损失可不承担民事赔偿责任。</w:t>
      </w:r>
    </w:p>
    <w:p w14:paraId="53C09C51">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（1）为救助他人生命而造成的必要财产损失；</w:t>
      </w:r>
    </w:p>
    <w:p w14:paraId="3FADEA9D">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（2）为避免甲方财产受损或可能受损而造成的必要财产损失（如失火又无人在内，为不使其造成巨大损失，物业管理者强行入内救助）；</w:t>
      </w:r>
    </w:p>
    <w:p w14:paraId="4FFEFDE0">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（3）为抓捕违法犯罪分子、制止不法侵害行为而造成的必要财产损失。</w:t>
      </w:r>
    </w:p>
    <w:p w14:paraId="49352BEC">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13.本项目主管人员的更换，须在30日前书面通知甲方。需经甲方书面同意后方可实施，擅自更换作违约处理。</w:t>
      </w:r>
    </w:p>
    <w:p w14:paraId="71E1ADB4">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14.接受甲方的监督。</w:t>
      </w:r>
    </w:p>
    <w:p w14:paraId="68216932">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356"/>
          <w:rFonts w:hint="eastAsia"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15.接受物业管理行政主管部门的监督指导。</w:t>
      </w:r>
    </w:p>
    <w:p w14:paraId="646314B9">
      <w:pPr>
        <w:pStyle w:val="358"/>
        <w:keepNext w:val="0"/>
        <w:keepLines w:val="0"/>
        <w:pageBreakBefore w:val="0"/>
        <w:widowControl w:val="0"/>
        <w:kinsoku/>
        <w:wordWrap/>
        <w:overflowPunct/>
        <w:topLinePunct w:val="0"/>
        <w:autoSpaceDE/>
        <w:autoSpaceDN/>
        <w:bidi w:val="0"/>
        <w:adjustRightInd/>
        <w:spacing w:line="480" w:lineRule="exact"/>
        <w:textAlignment w:val="auto"/>
        <w:rPr>
          <w:rStyle w:val="356"/>
          <w:rFonts w:hint="default" w:ascii="宋体" w:hAnsi="宋体" w:eastAsia="宋体" w:cs="宋体"/>
          <w:b/>
          <w:bCs/>
          <w:sz w:val="24"/>
          <w:szCs w:val="24"/>
          <w:highlight w:val="none"/>
          <w:lang w:val="en-US" w:eastAsia="zh-CN"/>
        </w:rPr>
      </w:pPr>
      <w:r>
        <w:rPr>
          <w:rStyle w:val="356"/>
          <w:rFonts w:hint="eastAsia" w:ascii="宋体" w:hAnsi="宋体" w:eastAsia="宋体" w:cs="宋体"/>
          <w:b/>
          <w:bCs/>
          <w:sz w:val="24"/>
          <w:szCs w:val="24"/>
          <w:highlight w:val="none"/>
          <w:lang w:val="en-US" w:eastAsia="zh-CN"/>
        </w:rPr>
        <w:t>八</w:t>
      </w:r>
      <w:r>
        <w:rPr>
          <w:rStyle w:val="356"/>
          <w:rFonts w:hint="eastAsia" w:ascii="宋体" w:hAnsi="宋体" w:eastAsia="宋体" w:cs="宋体"/>
          <w:b/>
          <w:bCs/>
          <w:sz w:val="24"/>
          <w:szCs w:val="24"/>
          <w:highlight w:val="none"/>
        </w:rPr>
        <w:t>、考核标准</w:t>
      </w:r>
      <w:r>
        <w:rPr>
          <w:rStyle w:val="356"/>
          <w:rFonts w:hint="eastAsia" w:hAnsi="宋体" w:cs="宋体"/>
          <w:b/>
          <w:bCs/>
          <w:sz w:val="24"/>
          <w:szCs w:val="24"/>
          <w:highlight w:val="none"/>
          <w:lang w:val="en-US" w:eastAsia="zh-CN"/>
        </w:rPr>
        <w:t>及其他要求</w:t>
      </w:r>
    </w:p>
    <w:p w14:paraId="3C841F49">
      <w:pPr>
        <w:pStyle w:val="358"/>
        <w:keepNext w:val="0"/>
        <w:keepLines w:val="0"/>
        <w:pageBreakBefore w:val="0"/>
        <w:widowControl w:val="0"/>
        <w:shd w:val="clear" w:color="auto" w:fill="FFFFFF"/>
        <w:kinsoku/>
        <w:wordWrap/>
        <w:overflowPunct/>
        <w:topLinePunct w:val="0"/>
        <w:autoSpaceDE/>
        <w:autoSpaceDN/>
        <w:bidi w:val="0"/>
        <w:adjustRightInd/>
        <w:spacing w:line="480" w:lineRule="exact"/>
        <w:ind w:firstLine="420"/>
        <w:textAlignment w:val="auto"/>
        <w:rPr>
          <w:rStyle w:val="356"/>
          <w:rFonts w:hint="default" w:ascii="宋体" w:hAnsi="宋体" w:eastAsia="宋体" w:cs="宋体"/>
          <w:sz w:val="24"/>
          <w:szCs w:val="24"/>
          <w:highlight w:val="none"/>
          <w:lang w:val="en-US" w:eastAsia="zh-CN"/>
        </w:rPr>
      </w:pPr>
      <w:r>
        <w:rPr>
          <w:rStyle w:val="356"/>
          <w:rFonts w:hint="eastAsia" w:ascii="宋体" w:hAnsi="宋体" w:eastAsia="宋体" w:cs="宋体"/>
          <w:sz w:val="24"/>
          <w:szCs w:val="24"/>
          <w:highlight w:val="none"/>
          <w:lang w:val="en-US" w:eastAsia="zh-CN"/>
        </w:rPr>
        <w:t>详见附件。</w:t>
      </w:r>
    </w:p>
    <w:p w14:paraId="178A84F1">
      <w:pPr>
        <w:pStyle w:val="358"/>
        <w:keepNext w:val="0"/>
        <w:keepLines w:val="0"/>
        <w:pageBreakBefore w:val="0"/>
        <w:widowControl w:val="0"/>
        <w:kinsoku/>
        <w:wordWrap/>
        <w:overflowPunct/>
        <w:topLinePunct w:val="0"/>
        <w:autoSpaceDE/>
        <w:autoSpaceDN/>
        <w:bidi w:val="0"/>
        <w:adjustRightInd/>
        <w:spacing w:line="480" w:lineRule="exact"/>
        <w:textAlignment w:val="auto"/>
        <w:rPr>
          <w:rStyle w:val="356"/>
          <w:rFonts w:hint="eastAsia" w:ascii="宋体" w:hAnsi="宋体" w:eastAsia="宋体" w:cs="宋体"/>
          <w:b/>
          <w:bCs/>
          <w:sz w:val="24"/>
          <w:szCs w:val="24"/>
          <w:highlight w:val="none"/>
          <w:lang w:val="en-US" w:eastAsia="zh-CN"/>
        </w:rPr>
      </w:pPr>
      <w:r>
        <w:rPr>
          <w:rStyle w:val="356"/>
          <w:rFonts w:hint="eastAsia" w:ascii="宋体" w:hAnsi="宋体" w:eastAsia="宋体" w:cs="宋体"/>
          <w:b/>
          <w:bCs/>
          <w:sz w:val="24"/>
          <w:szCs w:val="24"/>
          <w:highlight w:val="none"/>
          <w:lang w:val="en-US" w:eastAsia="zh-CN"/>
        </w:rPr>
        <w:t>九、物业承接验收、维护使用</w:t>
      </w:r>
    </w:p>
    <w:p w14:paraId="56E9F2F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1.甲方承接物业时，乙方应配合甲方对物业共用部位、共用设施设备进行查验。</w:t>
      </w:r>
    </w:p>
    <w:p w14:paraId="5B1718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2.对查验确认过的物业共用部位、共用设施设备如有问题，由甲乙双方协调解决。</w:t>
      </w:r>
    </w:p>
    <w:p w14:paraId="18691CC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3.对于本合同签订后承接的物业共用部位、共用设施设备，甲乙双方应按照前条规定进行查验并签订确认书，作为界定各自在开发建设和物业管理方面承担责任的依据。</w:t>
      </w:r>
    </w:p>
    <w:p w14:paraId="77B81AF3">
      <w:pPr>
        <w:pStyle w:val="358"/>
        <w:keepNext w:val="0"/>
        <w:keepLines w:val="0"/>
        <w:pageBreakBefore w:val="0"/>
        <w:widowControl w:val="0"/>
        <w:kinsoku/>
        <w:wordWrap/>
        <w:overflowPunct/>
        <w:topLinePunct w:val="0"/>
        <w:autoSpaceDE/>
        <w:autoSpaceDN/>
        <w:bidi w:val="0"/>
        <w:adjustRightInd/>
        <w:spacing w:line="480" w:lineRule="exact"/>
        <w:textAlignment w:val="auto"/>
        <w:rPr>
          <w:rStyle w:val="356"/>
          <w:rFonts w:hint="eastAsia" w:ascii="宋体" w:hAnsi="宋体" w:eastAsia="宋体" w:cs="宋体"/>
          <w:b/>
          <w:bCs/>
          <w:sz w:val="24"/>
          <w:szCs w:val="24"/>
          <w:highlight w:val="none"/>
        </w:rPr>
      </w:pPr>
      <w:r>
        <w:rPr>
          <w:rStyle w:val="356"/>
          <w:rFonts w:hint="eastAsia" w:ascii="宋体" w:hAnsi="宋体" w:eastAsia="宋体" w:cs="宋体"/>
          <w:b/>
          <w:bCs/>
          <w:sz w:val="24"/>
          <w:szCs w:val="24"/>
          <w:highlight w:val="none"/>
          <w:lang w:val="en-US" w:eastAsia="zh-CN"/>
        </w:rPr>
        <w:t>十</w:t>
      </w:r>
      <w:r>
        <w:rPr>
          <w:rStyle w:val="356"/>
          <w:rFonts w:hint="eastAsia" w:ascii="宋体" w:hAnsi="宋体" w:eastAsia="宋体" w:cs="宋体"/>
          <w:b/>
          <w:bCs/>
          <w:sz w:val="24"/>
          <w:szCs w:val="24"/>
          <w:highlight w:val="none"/>
        </w:rPr>
        <w:t>、其他约定</w:t>
      </w:r>
    </w:p>
    <w:p w14:paraId="3673A379">
      <w:pPr>
        <w:pStyle w:val="358"/>
        <w:keepNext w:val="0"/>
        <w:keepLines w:val="0"/>
        <w:pageBreakBefore w:val="0"/>
        <w:widowControl w:val="0"/>
        <w:kinsoku/>
        <w:wordWrap/>
        <w:overflowPunct/>
        <w:topLinePunct w:val="0"/>
        <w:autoSpaceDE/>
        <w:autoSpaceDN/>
        <w:bidi w:val="0"/>
        <w:adjustRightInd/>
        <w:spacing w:line="480" w:lineRule="exact"/>
        <w:jc w:val="left"/>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1.</w:t>
      </w:r>
      <w:r>
        <w:rPr>
          <w:rStyle w:val="356"/>
          <w:rFonts w:hint="eastAsia" w:ascii="宋体" w:hAnsi="宋体" w:eastAsia="宋体" w:cs="宋体"/>
          <w:sz w:val="24"/>
          <w:szCs w:val="24"/>
          <w:highlight w:val="none"/>
        </w:rPr>
        <w:t>如因甲方的原因，造成乙方未完成规定管理目标，乙方有权书面要求甲方在一定期限内解决，逾期未解决的，乙方不承担因此造成的一切后果，如甲方无正当理由拒付或付少物业管理费用，乙方有权终止合同；造成乙方损失的，甲方应给予乙方经济赔偿。</w:t>
      </w:r>
    </w:p>
    <w:p w14:paraId="4AB21403">
      <w:pPr>
        <w:pStyle w:val="358"/>
        <w:keepNext w:val="0"/>
        <w:keepLines w:val="0"/>
        <w:pageBreakBefore w:val="0"/>
        <w:widowControl w:val="0"/>
        <w:kinsoku/>
        <w:wordWrap/>
        <w:overflowPunct/>
        <w:topLinePunct w:val="0"/>
        <w:autoSpaceDE/>
        <w:autoSpaceDN/>
        <w:bidi w:val="0"/>
        <w:adjustRightInd/>
        <w:spacing w:line="480" w:lineRule="exact"/>
        <w:jc w:val="left"/>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2.</w:t>
      </w:r>
      <w:r>
        <w:rPr>
          <w:rStyle w:val="356"/>
          <w:rFonts w:hint="eastAsia" w:ascii="宋体" w:hAnsi="宋体" w:eastAsia="宋体" w:cs="宋体"/>
          <w:sz w:val="24"/>
          <w:szCs w:val="24"/>
          <w:highlight w:val="none"/>
        </w:rPr>
        <w:t>甲方对乙方每半年进行一次内部初审，初审结果达不到标准的，甲方有权书面要求乙方在规定期限内整改，逾期未整改，甲方有权停止支付乙方的物业管理费；每年度邀请市级有关专业人员对乙方的管理工作进行评审，评审结果达不到标准的，属于乙方违约，甲方有权不续签合同；并全部没收乙方的履约保证金，若不足以补偿甲方的损失的，乙方还应当赔偿甲方损失。</w:t>
      </w:r>
    </w:p>
    <w:p w14:paraId="2CEA8C90">
      <w:pPr>
        <w:pStyle w:val="358"/>
        <w:keepNext w:val="0"/>
        <w:keepLines w:val="0"/>
        <w:pageBreakBefore w:val="0"/>
        <w:widowControl w:val="0"/>
        <w:kinsoku/>
        <w:wordWrap/>
        <w:overflowPunct/>
        <w:topLinePunct w:val="0"/>
        <w:autoSpaceDE/>
        <w:autoSpaceDN/>
        <w:bidi w:val="0"/>
        <w:adjustRightInd/>
        <w:spacing w:line="480" w:lineRule="exact"/>
        <w:jc w:val="left"/>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3.</w:t>
      </w:r>
      <w:r>
        <w:rPr>
          <w:rStyle w:val="356"/>
          <w:rFonts w:hint="eastAsia" w:ascii="宋体" w:hAnsi="宋体" w:eastAsia="宋体" w:cs="宋体"/>
          <w:sz w:val="24"/>
          <w:szCs w:val="24"/>
          <w:highlight w:val="none"/>
        </w:rPr>
        <w:t>双方可对本合同的条款及未尽事宜进行补充，以书面形式签订补充合同或会议纪要、备忘录，补充合同、会议纪要、备忘录与本合同具有同等效力。</w:t>
      </w:r>
    </w:p>
    <w:p w14:paraId="473A9BCA">
      <w:pPr>
        <w:pStyle w:val="358"/>
        <w:keepNext w:val="0"/>
        <w:keepLines w:val="0"/>
        <w:pageBreakBefore w:val="0"/>
        <w:widowControl w:val="0"/>
        <w:kinsoku/>
        <w:wordWrap/>
        <w:overflowPunct/>
        <w:topLinePunct w:val="0"/>
        <w:autoSpaceDE/>
        <w:autoSpaceDN/>
        <w:bidi w:val="0"/>
        <w:adjustRightInd/>
        <w:spacing w:line="480" w:lineRule="exact"/>
        <w:jc w:val="left"/>
        <w:textAlignment w:val="auto"/>
        <w:rPr>
          <w:rStyle w:val="356"/>
          <w:rFonts w:hint="eastAsia" w:ascii="宋体" w:hAnsi="宋体" w:eastAsia="宋体" w:cs="宋体"/>
          <w:sz w:val="24"/>
          <w:szCs w:val="24"/>
          <w:highlight w:val="none"/>
        </w:rPr>
      </w:pPr>
      <w:r>
        <w:rPr>
          <w:rStyle w:val="356"/>
          <w:rFonts w:hint="eastAsia" w:ascii="宋体" w:hAnsi="宋体" w:eastAsia="宋体" w:cs="宋体"/>
          <w:sz w:val="24"/>
          <w:szCs w:val="24"/>
          <w:highlight w:val="none"/>
          <w:lang w:eastAsia="zh-CN"/>
        </w:rPr>
        <w:t>4.</w:t>
      </w:r>
      <w:r>
        <w:rPr>
          <w:rStyle w:val="356"/>
          <w:rFonts w:hint="eastAsia" w:ascii="宋体" w:hAnsi="宋体" w:eastAsia="宋体" w:cs="宋体"/>
          <w:sz w:val="24"/>
          <w:szCs w:val="24"/>
          <w:highlight w:val="none"/>
        </w:rPr>
        <w:t>本合同及其附件和补充合同中未规定的事宜，均遵照国家和本省、市有关法律、法规和规章执行。</w:t>
      </w:r>
    </w:p>
    <w:p w14:paraId="09E3AED6">
      <w:pPr>
        <w:pStyle w:val="358"/>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十一</w:t>
      </w:r>
      <w:r>
        <w:rPr>
          <w:rFonts w:hint="eastAsia" w:ascii="宋体" w:hAnsi="宋体" w:eastAsia="宋体" w:cs="宋体"/>
          <w:b/>
          <w:sz w:val="24"/>
          <w:szCs w:val="24"/>
          <w:highlight w:val="none"/>
        </w:rPr>
        <w:t>、争议解决</w:t>
      </w:r>
    </w:p>
    <w:p w14:paraId="502A7941">
      <w:pPr>
        <w:pStyle w:val="358"/>
        <w:keepNext w:val="0"/>
        <w:keepLines w:val="0"/>
        <w:pageBreakBefore w:val="0"/>
        <w:widowControl w:val="0"/>
        <w:kinsoku/>
        <w:wordWrap/>
        <w:overflowPunct/>
        <w:topLinePunct w:val="0"/>
        <w:autoSpaceDE/>
        <w:autoSpaceDN/>
        <w:bidi w:val="0"/>
        <w:adjustRightInd/>
        <w:spacing w:line="480" w:lineRule="exact"/>
        <w:ind w:firstLine="42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合同执行过程中发生的任何争议，如双方未能通过友好协商解决，应向</w:t>
      </w:r>
      <w:r>
        <w:rPr>
          <w:rFonts w:hint="eastAsia" w:ascii="宋体" w:hAnsi="宋体" w:eastAsia="宋体" w:cs="宋体"/>
          <w:sz w:val="24"/>
          <w:szCs w:val="24"/>
          <w:highlight w:val="none"/>
          <w:lang w:val="en-US" w:eastAsia="zh-CN"/>
        </w:rPr>
        <w:t>物业项目所在地</w:t>
      </w:r>
      <w:r>
        <w:rPr>
          <w:rFonts w:hint="eastAsia" w:ascii="宋体" w:hAnsi="宋体" w:eastAsia="宋体" w:cs="宋体"/>
          <w:sz w:val="24"/>
          <w:szCs w:val="24"/>
          <w:highlight w:val="none"/>
        </w:rPr>
        <w:t>人民法院提起诉讼。</w:t>
      </w:r>
      <w:r>
        <w:rPr>
          <w:rFonts w:hint="eastAsia" w:ascii="宋体" w:hAnsi="宋体" w:eastAsia="宋体" w:cs="宋体"/>
          <w:sz w:val="24"/>
          <w:szCs w:val="24"/>
          <w:highlight w:val="none"/>
          <w:lang w:val="en-US" w:eastAsia="zh-CN"/>
        </w:rPr>
        <w:t>因</w:t>
      </w:r>
      <w:r>
        <w:rPr>
          <w:rFonts w:hint="eastAsia" w:ascii="宋体" w:hAnsi="宋体" w:eastAsia="宋体" w:cs="宋体"/>
          <w:sz w:val="24"/>
          <w:szCs w:val="24"/>
          <w:highlight w:val="none"/>
        </w:rPr>
        <w:t>乙方原因导致甲方起诉的，</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应承担</w:t>
      </w:r>
      <w:r>
        <w:rPr>
          <w:rFonts w:hint="eastAsia" w:ascii="宋体" w:hAnsi="宋体" w:eastAsia="宋体" w:cs="宋体"/>
          <w:sz w:val="24"/>
          <w:szCs w:val="24"/>
          <w:highlight w:val="none"/>
          <w:lang w:val="en-US" w:eastAsia="zh-CN"/>
        </w:rPr>
        <w:t>甲方因此发生的所有费用，该费用包括但不限于</w:t>
      </w:r>
      <w:r>
        <w:rPr>
          <w:rFonts w:hint="eastAsia" w:ascii="宋体" w:hAnsi="宋体" w:eastAsia="宋体" w:cs="宋体"/>
          <w:sz w:val="24"/>
          <w:szCs w:val="24"/>
          <w:highlight w:val="none"/>
        </w:rPr>
        <w:t>律师费、</w:t>
      </w:r>
      <w:r>
        <w:rPr>
          <w:rFonts w:hint="eastAsia" w:ascii="宋体" w:hAnsi="宋体" w:eastAsia="宋体" w:cs="宋体"/>
          <w:sz w:val="24"/>
          <w:szCs w:val="24"/>
          <w:highlight w:val="none"/>
          <w:lang w:val="en-US" w:eastAsia="zh-CN"/>
        </w:rPr>
        <w:t>保全</w:t>
      </w:r>
      <w:r>
        <w:rPr>
          <w:rFonts w:hint="eastAsia" w:ascii="宋体" w:hAnsi="宋体" w:eastAsia="宋体" w:cs="宋体"/>
          <w:sz w:val="24"/>
          <w:szCs w:val="24"/>
          <w:highlight w:val="none"/>
        </w:rPr>
        <w:t>担保费、保全费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执行费、公证费、鉴定费等</w:t>
      </w:r>
      <w:r>
        <w:rPr>
          <w:rFonts w:hint="eastAsia" w:ascii="宋体" w:hAnsi="宋体" w:eastAsia="宋体" w:cs="宋体"/>
          <w:sz w:val="24"/>
          <w:szCs w:val="24"/>
          <w:highlight w:val="none"/>
        </w:rPr>
        <w:t>。</w:t>
      </w:r>
    </w:p>
    <w:p w14:paraId="2CAFB834">
      <w:pPr>
        <w:pStyle w:val="358"/>
        <w:keepNext w:val="0"/>
        <w:keepLines w:val="0"/>
        <w:pageBreakBefore w:val="0"/>
        <w:widowControl w:val="0"/>
        <w:tabs>
          <w:tab w:val="left" w:pos="824"/>
        </w:tabs>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在法院审理期间，乙方仍应按照合同约定继续向甲方提供服务，甲方拒绝接受服务的除外。</w:t>
      </w:r>
    </w:p>
    <w:p w14:paraId="54CB628B">
      <w:pPr>
        <w:pStyle w:val="358"/>
        <w:keepNext w:val="0"/>
        <w:keepLines w:val="0"/>
        <w:pageBreakBefore w:val="0"/>
        <w:widowControl w:val="0"/>
        <w:kinsoku/>
        <w:wordWrap/>
        <w:overflowPunct/>
        <w:topLinePunct w:val="0"/>
        <w:autoSpaceDE/>
        <w:autoSpaceDN/>
        <w:bidi w:val="0"/>
        <w:adjustRightInd/>
        <w:spacing w:line="480" w:lineRule="exact"/>
        <w:ind w:hanging="79"/>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 xml:space="preserve">、不可抗力 </w:t>
      </w:r>
    </w:p>
    <w:p w14:paraId="7321CF20">
      <w:pPr>
        <w:pStyle w:val="358"/>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任何一方由于不可抗力不能履行合同时，应在不可抗力事件发生后1天内向对方通报，以减轻可能给对方造成的损失，在取得有关机构的不可抗力证明或双方谅解确认后，允许延期履行或修订合同，并根据情况可部分或全部免于承担违约责任。</w:t>
      </w:r>
    </w:p>
    <w:p w14:paraId="1776EC5A">
      <w:pPr>
        <w:pStyle w:val="358"/>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违约责任</w:t>
      </w:r>
    </w:p>
    <w:p w14:paraId="654BB129">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1.业主</w:t>
      </w:r>
      <w:r>
        <w:rPr>
          <w:rFonts w:hint="eastAsia" w:ascii="宋体" w:hAnsi="宋体" w:eastAsia="宋体" w:cs="宋体"/>
          <w:sz w:val="24"/>
          <w:szCs w:val="24"/>
          <w:highlight w:val="none"/>
        </w:rPr>
        <w:t>方违反本合同的约定，致使乙方的管理服务无法达到本合同约定的服务内容和质量标准的，由</w:t>
      </w:r>
      <w:r>
        <w:rPr>
          <w:rFonts w:hint="eastAsia" w:ascii="宋体" w:hAnsi="宋体" w:eastAsia="宋体" w:cs="宋体"/>
          <w:sz w:val="24"/>
          <w:szCs w:val="24"/>
          <w:highlight w:val="none"/>
          <w:lang w:val="en-US" w:eastAsia="zh-CN"/>
        </w:rPr>
        <w:t>业主</w:t>
      </w:r>
      <w:r>
        <w:rPr>
          <w:rFonts w:hint="eastAsia" w:ascii="宋体" w:hAnsi="宋体" w:eastAsia="宋体" w:cs="宋体"/>
          <w:sz w:val="24"/>
          <w:szCs w:val="24"/>
          <w:highlight w:val="none"/>
        </w:rPr>
        <w:t>方赔偿由此造成的损失。</w:t>
      </w:r>
    </w:p>
    <w:p w14:paraId="3759AC99">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除前条规定情况外，乙方的管理服务达不到本合同约定的服务内容和质量标准，应按本项目应收物业管理费5%的标准向甲方支付违约金；如因乙方管理不善达不到合同约定要求，或业主意见大，或出现重大管理失误，甲方有权终止委托合同。</w:t>
      </w:r>
    </w:p>
    <w:p w14:paraId="04CE4E2E">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因乙方或其工作人员原因给业主或物业使用人造成损失的，乙方应承担相应的赔偿责任。</w:t>
      </w:r>
    </w:p>
    <w:p w14:paraId="70D0BEA3">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rPr>
        <w:t>在管理过程中，因下列事由所致的损害，不论其为直接或间接，均构成对乙方企业的免责事由，乙方不负赔偿之责：</w:t>
      </w:r>
    </w:p>
    <w:p w14:paraId="795AB21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天灾、地震等不可抗力的事由所致的损害；</w:t>
      </w:r>
    </w:p>
    <w:p w14:paraId="1F3DA3C6">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暴动、抢劫、破坏、爆炸、火灾、刑事犯罪等违法行为等事由所致的损害， 但因乙方故意或过失所致者，不在此限；</w:t>
      </w:r>
    </w:p>
    <w:p w14:paraId="3FBCBC1C">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乙方已履行本合同约定义务，但因物业本身固有瑕疵造成损失的；</w:t>
      </w:r>
    </w:p>
    <w:p w14:paraId="77E3DBDF">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因维修养护物业共用部位、共用设施设备需要且事先已告知业主和物业 使用人，暂时停水、停电、停止共用设施设备使用等造成损失的；</w:t>
      </w:r>
    </w:p>
    <w:p w14:paraId="6D862661">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因非乙方责任出现供水、供电、供气、供热、通讯、有线电视及其他共 用设施设备运行障碍造成损失的</w:t>
      </w:r>
    </w:p>
    <w:p w14:paraId="0E2E2DC7">
      <w:pPr>
        <w:pStyle w:val="35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因业主或第三者之故意、过失所致的损害，或因业主延迟交付物业服务费 用导致物业管理服务不能正常开展所产生的损害；</w:t>
      </w:r>
    </w:p>
    <w:p w14:paraId="34F451A3">
      <w:pPr>
        <w:pStyle w:val="358"/>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其他</w:t>
      </w:r>
      <w:r>
        <w:rPr>
          <w:rFonts w:hint="eastAsia" w:ascii="宋体" w:hAnsi="宋体" w:eastAsia="宋体" w:cs="宋体"/>
          <w:b/>
          <w:sz w:val="24"/>
          <w:szCs w:val="24"/>
          <w:highlight w:val="none"/>
          <w:lang w:val="en-US" w:eastAsia="zh-CN"/>
        </w:rPr>
        <w:t>事项</w:t>
      </w:r>
    </w:p>
    <w:p w14:paraId="1427ACFE">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1.合同自双方签章起生效</w:t>
      </w:r>
      <w:r>
        <w:rPr>
          <w:rFonts w:hint="eastAsia" w:hAnsi="宋体" w:cs="宋体"/>
          <w:sz w:val="24"/>
          <w:szCs w:val="24"/>
          <w:highlight w:val="none"/>
          <w:lang w:val="en-US" w:eastAsia="zh-CN"/>
        </w:rPr>
        <w:t>。</w:t>
      </w:r>
    </w:p>
    <w:p w14:paraId="5D588F6C">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2.本合同终止时，乙方应将物业管理用房、物业管理相关资料等属于业主所有的财物及时完整地移交给业主。</w:t>
      </w:r>
    </w:p>
    <w:p w14:paraId="1B7954ED">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3.本合同终止时，乙方应将甲方购买的办公资产移交给甲方。</w:t>
      </w:r>
    </w:p>
    <w:p w14:paraId="2FF3EA65">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本合同的附件为本合同不可分割的组成部分，与本合同具有同等法律效力。本合同文件的组成及解释顺序如下：①本合同书；②中标通知书；③招标文件；④投标文件。投标文件与本合同书及招标文件要求不一致的，以 本合同书和招标文件的要求为准。</w:t>
      </w:r>
    </w:p>
    <w:p w14:paraId="22507CE4">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本合同未尽事宜，双方可另行以书面形式签订补充协议，补充 协议与本合同存在冲突的，以本合同为准。</w:t>
      </w:r>
    </w:p>
    <w:p w14:paraId="45880342">
      <w:pPr>
        <w:pStyle w:val="358"/>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本合同一式四份，甲方两份，乙方两份，每份合同均具有同等 法律效力。</w:t>
      </w:r>
      <w:r>
        <w:rPr>
          <w:rFonts w:hint="eastAsia" w:ascii="宋体" w:hAnsi="宋体" w:eastAsia="宋体" w:cs="宋体"/>
          <w:sz w:val="24"/>
          <w:szCs w:val="24"/>
          <w:highlight w:val="none"/>
        </w:rPr>
        <w:t xml:space="preserve">                         </w:t>
      </w:r>
    </w:p>
    <w:bookmarkEnd w:id="56"/>
    <w:bookmarkEnd w:id="57"/>
    <w:p w14:paraId="0FA977EB">
      <w:pPr>
        <w:pStyle w:val="358"/>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（以下无正文）</w:t>
      </w:r>
    </w:p>
    <w:p w14:paraId="34B91E3F">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甲      方：                            乙      方：                </w:t>
      </w:r>
    </w:p>
    <w:p w14:paraId="3D018B42">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法定代表人：                            法定代表人：                   </w:t>
      </w:r>
    </w:p>
    <w:p w14:paraId="3D8133CD">
      <w:pPr>
        <w:keepNext w:val="0"/>
        <w:keepLines w:val="0"/>
        <w:pageBreakBefore w:val="0"/>
        <w:widowControl w:val="0"/>
        <w:kinsoku/>
        <w:wordWrap/>
        <w:overflowPunct/>
        <w:topLinePunct w:val="0"/>
        <w:autoSpaceDE/>
        <w:autoSpaceDN/>
        <w:bidi w:val="0"/>
        <w:adjustRightInd/>
        <w:spacing w:line="48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委托代理人：                            委托代理人：     </w:t>
      </w:r>
    </w:p>
    <w:p w14:paraId="32516CF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6E54964A">
      <w:pPr>
        <w:keepNext w:val="0"/>
        <w:keepLines w:val="0"/>
        <w:pageBreakBefore w:val="0"/>
        <w:widowControl w:val="0"/>
        <w:kinsoku/>
        <w:wordWrap/>
        <w:overflowPunct/>
        <w:topLinePunct w:val="0"/>
        <w:autoSpaceDE/>
        <w:autoSpaceDN/>
        <w:bidi w:val="0"/>
        <w:adjustRightInd/>
        <w:spacing w:line="480" w:lineRule="exact"/>
        <w:jc w:val="center"/>
        <w:textAlignment w:val="auto"/>
        <w:rPr>
          <w:sz w:val="32"/>
          <w:szCs w:val="32"/>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年   月   日</w:t>
      </w:r>
    </w:p>
    <w:p w14:paraId="3F06E4EE">
      <w:pPr>
        <w:tabs>
          <w:tab w:val="left" w:pos="5570"/>
        </w:tabs>
        <w:spacing w:line="360" w:lineRule="auto"/>
        <w:ind w:firstLine="422" w:firstLineChars="200"/>
        <w:rPr>
          <w:rFonts w:eastAsia="黑体"/>
          <w:b/>
          <w:color w:val="000000"/>
          <w:highlight w:val="none"/>
        </w:rPr>
      </w:pPr>
    </w:p>
    <w:p w14:paraId="7412B240">
      <w:pPr>
        <w:spacing w:line="480" w:lineRule="exact"/>
        <w:jc w:val="left"/>
        <w:rPr>
          <w:rFonts w:hAnsi="宋体"/>
          <w:kern w:val="0"/>
          <w:szCs w:val="21"/>
          <w:highlight w:val="none"/>
        </w:rPr>
      </w:pPr>
    </w:p>
    <w:p w14:paraId="18498FFA">
      <w:pPr>
        <w:jc w:val="center"/>
        <w:rPr>
          <w:rFonts w:ascii="宋体" w:hAnsi="宋体" w:cs="宋体"/>
          <w:sz w:val="32"/>
          <w:szCs w:val="32"/>
          <w:highlight w:val="none"/>
        </w:rPr>
      </w:pPr>
      <w:r>
        <w:rPr>
          <w:rFonts w:ascii="宋体" w:hAnsi="宋体" w:cs="宋体"/>
          <w:b/>
          <w:bCs/>
          <w:sz w:val="32"/>
          <w:szCs w:val="32"/>
          <w:highlight w:val="none"/>
        </w:rPr>
        <w:br w:type="page"/>
      </w:r>
      <w:r>
        <w:rPr>
          <w:rFonts w:ascii="宋体" w:hAnsi="宋体" w:cs="宋体"/>
          <w:b/>
          <w:bCs/>
          <w:sz w:val="32"/>
          <w:szCs w:val="32"/>
          <w:highlight w:val="none"/>
        </w:rPr>
        <w:t>物业</w:t>
      </w:r>
      <w:r>
        <w:rPr>
          <w:rFonts w:hint="eastAsia" w:ascii="宋体" w:hAnsi="宋体" w:cs="宋体"/>
          <w:b/>
          <w:bCs/>
          <w:sz w:val="32"/>
          <w:szCs w:val="32"/>
          <w:highlight w:val="none"/>
          <w:lang w:val="en-US" w:eastAsia="zh-CN"/>
        </w:rPr>
        <w:t>劳务</w:t>
      </w:r>
      <w:r>
        <w:rPr>
          <w:rFonts w:hint="eastAsia" w:ascii="宋体" w:hAnsi="宋体" w:cs="宋体"/>
          <w:b/>
          <w:bCs/>
          <w:sz w:val="32"/>
          <w:szCs w:val="32"/>
          <w:highlight w:val="none"/>
        </w:rPr>
        <w:t>分包项目</w:t>
      </w:r>
      <w:r>
        <w:rPr>
          <w:rFonts w:ascii="宋体" w:hAnsi="宋体" w:cs="宋体"/>
          <w:b/>
          <w:bCs/>
          <w:sz w:val="32"/>
          <w:szCs w:val="32"/>
          <w:highlight w:val="none"/>
        </w:rPr>
        <w:t>安全协议</w:t>
      </w:r>
    </w:p>
    <w:p w14:paraId="6A8B91A1">
      <w:pPr>
        <w:autoSpaceDE w:val="0"/>
        <w:autoSpaceDN w:val="0"/>
        <w:adjustRightInd w:val="0"/>
        <w:snapToGrid w:val="0"/>
        <w:spacing w:line="50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甲方： 南通中宏环境发展有限公司（以下简称甲方）</w:t>
      </w:r>
    </w:p>
    <w:p w14:paraId="0B9A902F">
      <w:pPr>
        <w:autoSpaceDE w:val="0"/>
        <w:autoSpaceDN w:val="0"/>
        <w:adjustRightInd w:val="0"/>
        <w:snapToGrid w:val="0"/>
        <w:spacing w:line="500" w:lineRule="exac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w:t>
      </w:r>
    </w:p>
    <w:p w14:paraId="43BD8E2A">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一、为认真贯彻落实国家相关法律、法规，坚持“安全第一、预防为主、责任明确”的原则，进一步明确甲、乙双方就项目</w:t>
      </w:r>
      <w:r>
        <w:rPr>
          <w:rFonts w:hint="eastAsia" w:ascii="宋体" w:hAnsi="宋体" w:eastAsia="宋体" w:cs="宋体"/>
          <w:sz w:val="24"/>
          <w:szCs w:val="24"/>
          <w:highlight w:val="none"/>
          <w:lang w:val="en-US" w:eastAsia="zh-CN"/>
        </w:rPr>
        <w:t>劳务</w:t>
      </w:r>
      <w:r>
        <w:rPr>
          <w:rFonts w:hint="eastAsia" w:ascii="宋体" w:hAnsi="宋体" w:eastAsia="宋体" w:cs="宋体"/>
          <w:sz w:val="24"/>
          <w:szCs w:val="24"/>
          <w:highlight w:val="none"/>
        </w:rPr>
        <w:t>分包中各自的安全管理责任，确保各自的经济利益避免遭受损失，签订此安全协议。具体如下：</w:t>
      </w:r>
    </w:p>
    <w:p w14:paraId="0C55F9C7">
      <w:pPr>
        <w:autoSpaceDE w:val="0"/>
        <w:autoSpaceDN w:val="0"/>
        <w:adjustRightInd w:val="0"/>
        <w:snapToGrid w:val="0"/>
        <w:spacing w:line="560" w:lineRule="exact"/>
        <w:ind w:firstLine="480" w:firstLineChars="200"/>
        <w:textAlignment w:val="baseline"/>
        <w:outlineLvl w:val="6"/>
        <w:rPr>
          <w:rFonts w:hint="eastAsia" w:ascii="宋体" w:hAnsi="宋体" w:eastAsia="宋体" w:cs="宋体"/>
          <w:sz w:val="24"/>
          <w:szCs w:val="24"/>
          <w:highlight w:val="none"/>
        </w:rPr>
      </w:pPr>
      <w:r>
        <w:rPr>
          <w:rFonts w:hint="eastAsia" w:ascii="宋体" w:hAnsi="宋体" w:eastAsia="宋体" w:cs="宋体"/>
          <w:sz w:val="24"/>
          <w:szCs w:val="24"/>
          <w:highlight w:val="none"/>
        </w:rPr>
        <w:t>二、甲方的权利和义务</w:t>
      </w:r>
    </w:p>
    <w:p w14:paraId="02F6BB3A">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监督考核乙方的物业管理行为，就物业安全管理问题向乙方提出意见和建议，根据协议约定进行奖惩。</w:t>
      </w:r>
    </w:p>
    <w:p w14:paraId="7B238210">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向乙方提供项目基本信息和必要资料。</w:t>
      </w:r>
    </w:p>
    <w:p w14:paraId="13D0421B">
      <w:pPr>
        <w:autoSpaceDE w:val="0"/>
        <w:autoSpaceDN w:val="0"/>
        <w:adjustRightInd w:val="0"/>
        <w:snapToGrid w:val="0"/>
        <w:spacing w:line="560" w:lineRule="exact"/>
        <w:ind w:firstLine="480" w:firstLineChars="200"/>
        <w:textAlignment w:val="baseline"/>
        <w:outlineLvl w:val="6"/>
        <w:rPr>
          <w:rFonts w:hint="eastAsia" w:ascii="宋体" w:hAnsi="宋体" w:eastAsia="宋体" w:cs="宋体"/>
          <w:sz w:val="24"/>
          <w:szCs w:val="24"/>
          <w:highlight w:val="none"/>
        </w:rPr>
      </w:pPr>
      <w:r>
        <w:rPr>
          <w:rFonts w:hint="eastAsia" w:ascii="宋体" w:hAnsi="宋体" w:eastAsia="宋体" w:cs="宋体"/>
          <w:sz w:val="24"/>
          <w:szCs w:val="24"/>
          <w:highlight w:val="none"/>
        </w:rPr>
        <w:t>三、乙方的权利和义务</w:t>
      </w:r>
    </w:p>
    <w:p w14:paraId="588E8C81">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乙方应按照甲方的安全生产、环境保护、疫情防控等有关制度、规定和告知要求开展项目工作，制定安全工作制度，完善安全工作流程，并对乙方员工进行安全教育培训。</w:t>
      </w:r>
    </w:p>
    <w:p w14:paraId="055DCB40">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乙方必须组织派驻甲方的物业工作人员进行健康体检，每天进行班前巡查和安全教育，凡患作业禁忌症、身体、心理不健康或者不宜从事实际作业人员，一律不得派驻项目开展物业工作，否则由此引起的后果由乙方负责。</w:t>
      </w:r>
    </w:p>
    <w:p w14:paraId="398AE0D9">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乙方应建立和健全安全管理、环保卫生、消防安全相关制度，物业管理期间，乙方有专人负责本单位的有关安全、消防、环保等工作。乙方法人代表人或者委托管理人为乙方安全责任人。</w:t>
      </w:r>
    </w:p>
    <w:p w14:paraId="3851E18D">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乙方指定专人专职负责消防安全工作，贯彻执行各项消防安全管理规定，认真落实安全管理措施。</w:t>
      </w:r>
    </w:p>
    <w:p w14:paraId="5454D390">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乙方必须对本单位员工进行安全生产制度及安全技术知识教育，增强法制观念，提高职工安全意识和自我保护能力，督促职工自觉遵守甲方安全生产制度及规定，服从甲方安全生产管理。</w:t>
      </w:r>
    </w:p>
    <w:p w14:paraId="778A2D3E">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乙方应有健全的安全管理组织体制，各工种的安全操作规程，从事特种作业时按照国家相关规定持证上岗，并在作业中做好安全防护。登高作业前应仔细检查登高工具和安全用具，登高作业人员需持证上岗，严禁雇用超龄、恐高人员，严禁酒后作业。作业用火须取得现场动火用火证。使用的各种机械、设备等应符合国家标准。</w:t>
      </w:r>
    </w:p>
    <w:p w14:paraId="62ECCEAD">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在物业管理过程中的个人安全防护用品由乙方自行解决。甲、乙双方督促物业管理从业人员戴好防护用品。</w:t>
      </w:r>
    </w:p>
    <w:p w14:paraId="0ED98E52">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8.</w:t>
      </w:r>
      <w:r>
        <w:rPr>
          <w:rFonts w:hint="eastAsia" w:ascii="宋体" w:hAnsi="宋体" w:eastAsia="宋体" w:cs="宋体"/>
          <w:sz w:val="24"/>
          <w:szCs w:val="24"/>
          <w:highlight w:val="none"/>
        </w:rPr>
        <w:t>乙方应按照相关法律要求，与其派遣到项目的员工签署劳动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合同，并负责办理社会保险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包含工伤保险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或雇主责任险、人身意外伤害保险等。</w:t>
      </w:r>
    </w:p>
    <w:p w14:paraId="379964FB">
      <w:pPr>
        <w:autoSpaceDE w:val="0"/>
        <w:autoSpaceDN w:val="0"/>
        <w:adjustRightInd w:val="0"/>
        <w:snapToGrid w:val="0"/>
        <w:spacing w:line="560" w:lineRule="exact"/>
        <w:ind w:firstLine="480" w:firstLineChars="200"/>
        <w:textAlignment w:val="baseline"/>
        <w:outlineLvl w:val="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rPr>
        <w:t>因乙方原因造成的安全责任事故，由乙方自行承担责任，与甲方无涉。</w:t>
      </w:r>
    </w:p>
    <w:p w14:paraId="3AFB3618">
      <w:pPr>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 、本协议一式贰份，甲乙双方各执壹份，自双方</w:t>
      </w:r>
      <w:r>
        <w:rPr>
          <w:rFonts w:hint="eastAsia" w:ascii="宋体" w:hAnsi="宋体" w:eastAsia="宋体" w:cs="宋体"/>
          <w:sz w:val="24"/>
          <w:szCs w:val="24"/>
          <w:highlight w:val="none"/>
          <w:lang w:val="en-US" w:eastAsia="zh-CN"/>
        </w:rPr>
        <w:t>签署</w:t>
      </w:r>
      <w:r>
        <w:rPr>
          <w:rFonts w:hint="eastAsia" w:ascii="宋体" w:hAnsi="宋体" w:eastAsia="宋体" w:cs="宋体"/>
          <w:sz w:val="24"/>
          <w:szCs w:val="24"/>
          <w:highlight w:val="none"/>
        </w:rPr>
        <w:t>之日起生效。</w:t>
      </w:r>
    </w:p>
    <w:p w14:paraId="67B0E6A0">
      <w:pPr>
        <w:autoSpaceDE w:val="0"/>
        <w:autoSpaceDN w:val="0"/>
        <w:adjustRightInd w:val="0"/>
        <w:snapToGrid w:val="0"/>
        <w:spacing w:line="560" w:lineRule="exact"/>
        <w:textAlignment w:val="baseline"/>
        <w:rPr>
          <w:rFonts w:hint="eastAsia" w:ascii="宋体" w:hAnsi="宋体" w:eastAsia="宋体" w:cs="宋体"/>
          <w:sz w:val="24"/>
          <w:szCs w:val="24"/>
          <w:highlight w:val="none"/>
        </w:rPr>
      </w:pPr>
    </w:p>
    <w:p w14:paraId="51BCCF05">
      <w:pPr>
        <w:autoSpaceDE w:val="0"/>
        <w:autoSpaceDN w:val="0"/>
        <w:adjustRightInd w:val="0"/>
        <w:snapToGrid w:val="0"/>
        <w:spacing w:line="56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p>
    <w:p w14:paraId="6AA36AFF">
      <w:pPr>
        <w:autoSpaceDE w:val="0"/>
        <w:autoSpaceDN w:val="0"/>
        <w:adjustRightInd w:val="0"/>
        <w:snapToGrid w:val="0"/>
        <w:spacing w:line="560" w:lineRule="exact"/>
        <w:ind w:firstLine="720" w:firstLineChars="300"/>
        <w:textAlignment w:val="baseline"/>
        <w:rPr>
          <w:rFonts w:hint="eastAsia" w:ascii="宋体" w:hAnsi="宋体" w:eastAsia="宋体" w:cs="宋体"/>
          <w:sz w:val="24"/>
          <w:szCs w:val="24"/>
          <w:highlight w:val="none"/>
        </w:rPr>
      </w:pPr>
    </w:p>
    <w:p w14:paraId="4C89A9C6">
      <w:pPr>
        <w:autoSpaceDE w:val="0"/>
        <w:autoSpaceDN w:val="0"/>
        <w:adjustRightInd w:val="0"/>
        <w:snapToGrid w:val="0"/>
        <w:spacing w:line="560" w:lineRule="exact"/>
        <w:ind w:firstLine="720" w:firstLineChars="300"/>
        <w:textAlignment w:val="baseline"/>
        <w:rPr>
          <w:rFonts w:hint="eastAsia" w:ascii="宋体" w:hAnsi="宋体" w:eastAsia="宋体" w:cs="宋体"/>
          <w:sz w:val="24"/>
          <w:szCs w:val="24"/>
          <w:highlight w:val="none"/>
        </w:rPr>
      </w:pPr>
    </w:p>
    <w:p w14:paraId="7A6B7A44">
      <w:pPr>
        <w:autoSpaceDE w:val="0"/>
        <w:autoSpaceDN w:val="0"/>
        <w:adjustRightInd w:val="0"/>
        <w:snapToGrid w:val="0"/>
        <w:spacing w:line="560" w:lineRule="exact"/>
        <w:ind w:firstLine="720" w:firstLineChars="3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年  月  日                                   年  月  日</w:t>
      </w:r>
    </w:p>
    <w:p w14:paraId="7714CD1F">
      <w:pPr>
        <w:spacing w:line="560" w:lineRule="exact"/>
        <w:jc w:val="center"/>
        <w:rPr>
          <w:b/>
          <w:bCs/>
          <w:color w:val="000000"/>
          <w:sz w:val="44"/>
          <w:szCs w:val="44"/>
          <w:highlight w:val="none"/>
        </w:rPr>
      </w:pPr>
    </w:p>
    <w:p w14:paraId="185715A3">
      <w:pPr>
        <w:spacing w:line="560" w:lineRule="exact"/>
        <w:jc w:val="center"/>
        <w:rPr>
          <w:rFonts w:ascii="仿宋" w:hAnsi="仿宋" w:eastAsia="仿宋" w:cs="仿宋"/>
          <w:sz w:val="32"/>
          <w:szCs w:val="32"/>
          <w:highlight w:val="none"/>
        </w:rPr>
      </w:pPr>
      <w:r>
        <w:rPr>
          <w:rFonts w:hint="eastAsia"/>
          <w:b/>
          <w:bCs/>
          <w:color w:val="000000"/>
          <w:sz w:val="44"/>
          <w:szCs w:val="44"/>
          <w:highlight w:val="none"/>
        </w:rPr>
        <w:br w:type="page"/>
      </w:r>
      <w:r>
        <w:rPr>
          <w:rFonts w:hint="eastAsia" w:ascii="宋体" w:hAnsi="宋体" w:cs="宋体"/>
          <w:b/>
          <w:bCs/>
          <w:sz w:val="32"/>
          <w:szCs w:val="32"/>
          <w:highlight w:val="none"/>
        </w:rPr>
        <w:t>物业</w:t>
      </w:r>
      <w:r>
        <w:rPr>
          <w:rFonts w:hint="eastAsia" w:ascii="宋体" w:hAnsi="宋体" w:cs="宋体"/>
          <w:b/>
          <w:bCs/>
          <w:sz w:val="32"/>
          <w:szCs w:val="32"/>
          <w:highlight w:val="none"/>
          <w:lang w:val="en-US" w:eastAsia="zh-CN"/>
        </w:rPr>
        <w:t>劳务</w:t>
      </w:r>
      <w:r>
        <w:rPr>
          <w:rFonts w:hint="eastAsia" w:ascii="宋体" w:hAnsi="宋体" w:cs="宋体"/>
          <w:b/>
          <w:bCs/>
          <w:sz w:val="32"/>
          <w:szCs w:val="32"/>
          <w:highlight w:val="none"/>
        </w:rPr>
        <w:t>分包履约承诺书</w:t>
      </w:r>
    </w:p>
    <w:p w14:paraId="2FC3103D">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南通中宏环境发展有限公司：</w:t>
      </w:r>
    </w:p>
    <w:p w14:paraId="1814DF16">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我公司承接贵单位的</w:t>
      </w:r>
      <w:r>
        <w:rPr>
          <w:rFonts w:hint="eastAsia" w:ascii="宋体" w:hAnsi="宋体" w:eastAsia="宋体" w:cs="宋体"/>
          <w:sz w:val="24"/>
          <w:szCs w:val="24"/>
          <w:highlight w:val="none"/>
          <w:lang w:val="en-US" w:eastAsia="zh-CN"/>
        </w:rPr>
        <w:t>劳务</w:t>
      </w:r>
      <w:r>
        <w:rPr>
          <w:rFonts w:hint="eastAsia" w:ascii="宋体" w:hAnsi="宋体" w:eastAsia="宋体" w:cs="宋体"/>
          <w:sz w:val="24"/>
          <w:szCs w:val="24"/>
          <w:highlight w:val="none"/>
        </w:rPr>
        <w:t>分包项目后，自觉维护贵公司的企业形象，遵守贵公司的各项规章制度，妥善处理好项目上存在的各类问题。如发生以下问题，我公司自愿承担所有责任，消除负面影响，并接受贵公司的各项处罚，直至合同解除，扣除全部履约保证金。</w:t>
      </w:r>
    </w:p>
    <w:p w14:paraId="53489A24">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一、未及时足额支付项目劳务用工的各项薪酬，造成不良社会影响的。如：欠薪人员至贵公司或业主单位进行现场讨薪、有效举报至相关行政部门、12345等并立案成功等。</w:t>
      </w:r>
    </w:p>
    <w:p w14:paraId="7D5E3549">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二、因未妥善处理项目上的各类工作范围内的问题，造成不良社情舆情的。如：项目劳务人员不当言论、行为被社交媒体平台公布造成传播；与业主（住户、商户）发生纠纷被当事人投诉成功造成不良影响、业主（住户）集体投诉等。</w:t>
      </w:r>
    </w:p>
    <w:p w14:paraId="061CB1E2">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三、未按照国家法律法规、中宏公司项目要求，使用超龄人员或未给项目劳务人员配备劳保用品、安全用品，导致人员伤亡（超龄人员隐性疾病等）、安全事故的情形；或经业主单位、中宏公司检查发现、各级部门通报和检举确认此类违规操作的。</w:t>
      </w:r>
    </w:p>
    <w:p w14:paraId="20AF1C30">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四、项目劳务人员在履行岗位职责时发生严重违法违纪情况的。</w:t>
      </w:r>
    </w:p>
    <w:p w14:paraId="69023EFA">
      <w:pPr>
        <w:spacing w:line="560" w:lineRule="exact"/>
        <w:ind w:firstLine="437"/>
        <w:rPr>
          <w:rFonts w:hint="eastAsia" w:ascii="宋体" w:hAnsi="宋体" w:eastAsia="宋体" w:cs="宋体"/>
          <w:sz w:val="24"/>
          <w:szCs w:val="24"/>
          <w:highlight w:val="none"/>
        </w:rPr>
      </w:pPr>
      <w:r>
        <w:rPr>
          <w:rFonts w:hint="eastAsia" w:ascii="宋体" w:hAnsi="宋体" w:eastAsia="宋体" w:cs="宋体"/>
          <w:sz w:val="24"/>
          <w:szCs w:val="24"/>
          <w:highlight w:val="none"/>
        </w:rPr>
        <w:t>五、其他给中宏公司造成严重经济损失或名誉损失的情况。</w:t>
      </w:r>
    </w:p>
    <w:p w14:paraId="3F05AD63">
      <w:pPr>
        <w:spacing w:line="400" w:lineRule="exact"/>
        <w:rPr>
          <w:rFonts w:hint="eastAsia" w:ascii="宋体" w:hAnsi="宋体" w:eastAsia="宋体" w:cs="宋体"/>
          <w:sz w:val="24"/>
          <w:szCs w:val="24"/>
          <w:highlight w:val="none"/>
        </w:rPr>
      </w:pPr>
    </w:p>
    <w:p w14:paraId="7BDFD18A">
      <w:pPr>
        <w:spacing w:line="400" w:lineRule="exact"/>
        <w:ind w:firstLine="435"/>
        <w:rPr>
          <w:rFonts w:hint="eastAsia" w:ascii="宋体" w:hAnsi="宋体" w:eastAsia="宋体" w:cs="宋体"/>
          <w:sz w:val="24"/>
          <w:szCs w:val="24"/>
          <w:highlight w:val="none"/>
        </w:rPr>
      </w:pPr>
    </w:p>
    <w:p w14:paraId="4A98BA4B">
      <w:pPr>
        <w:spacing w:line="560" w:lineRule="exact"/>
        <w:ind w:firstLine="43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承诺单位（盖章）：</w:t>
      </w:r>
    </w:p>
    <w:p w14:paraId="2AB2DC86">
      <w:pPr>
        <w:spacing w:line="560" w:lineRule="exact"/>
        <w:ind w:firstLine="437"/>
        <w:jc w:val="right"/>
        <w:rPr>
          <w:rFonts w:hint="eastAsia" w:ascii="宋体" w:hAnsi="宋体" w:eastAsia="宋体" w:cs="宋体"/>
          <w:sz w:val="24"/>
          <w:szCs w:val="24"/>
          <w:highlight w:val="none"/>
        </w:rPr>
      </w:pPr>
    </w:p>
    <w:p w14:paraId="624C1DC3">
      <w:pPr>
        <w:ind w:firstLine="4200" w:firstLineChars="175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p>
    <w:p w14:paraId="4F695D18">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附件：考核标准及其他</w:t>
      </w:r>
    </w:p>
    <w:tbl>
      <w:tblPr>
        <w:tblStyle w:val="8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2145"/>
        <w:gridCol w:w="1348"/>
        <w:gridCol w:w="1800"/>
        <w:gridCol w:w="1856"/>
        <w:gridCol w:w="531"/>
        <w:gridCol w:w="632"/>
        <w:gridCol w:w="630"/>
      </w:tblGrid>
      <w:tr w14:paraId="2565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5F2B3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 xml:space="preserve">物业月考核评分表  </w:t>
            </w:r>
            <w:r>
              <w:rPr>
                <w:rFonts w:hint="eastAsia" w:ascii="宋体" w:hAnsi="宋体" w:eastAsia="宋体" w:cs="宋体"/>
                <w:b/>
                <w:bCs/>
                <w:i w:val="0"/>
                <w:iCs w:val="0"/>
                <w:color w:val="000000"/>
                <w:kern w:val="0"/>
                <w:sz w:val="20"/>
                <w:szCs w:val="20"/>
                <w:highlight w:val="none"/>
                <w:u w:val="none"/>
                <w:lang w:val="en-US" w:eastAsia="zh-CN" w:bidi="ar"/>
              </w:rPr>
              <w:t xml:space="preserve">项目名称：体育中心项目 </w:t>
            </w:r>
            <w:r>
              <w:rPr>
                <w:rFonts w:hint="eastAsia" w:ascii="宋体" w:hAnsi="宋体" w:eastAsia="宋体" w:cs="宋体"/>
                <w:b/>
                <w:bCs/>
                <w:i w:val="0"/>
                <w:iCs w:val="0"/>
                <w:color w:val="000000"/>
                <w:kern w:val="0"/>
                <w:sz w:val="40"/>
                <w:szCs w:val="40"/>
                <w:highlight w:val="none"/>
                <w:u w:val="none"/>
                <w:lang w:val="en-US" w:eastAsia="zh-CN" w:bidi="ar"/>
              </w:rPr>
              <w:t xml:space="preserve">  </w:t>
            </w:r>
            <w:r>
              <w:rPr>
                <w:rFonts w:hint="eastAsia" w:ascii="宋体" w:hAnsi="宋体" w:eastAsia="宋体" w:cs="宋体"/>
                <w:b/>
                <w:bCs/>
                <w:i w:val="0"/>
                <w:iCs w:val="0"/>
                <w:color w:val="000000"/>
                <w:kern w:val="0"/>
                <w:sz w:val="20"/>
                <w:szCs w:val="20"/>
                <w:highlight w:val="none"/>
                <w:u w:val="none"/>
                <w:lang w:val="en-US" w:eastAsia="zh-CN" w:bidi="ar"/>
              </w:rPr>
              <w:t>时间：</w:t>
            </w:r>
          </w:p>
        </w:tc>
      </w:tr>
      <w:tr w14:paraId="1A25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6" w:type="pct"/>
            <w:tcBorders>
              <w:top w:val="single" w:color="auto" w:sz="4" w:space="0"/>
              <w:left w:val="single" w:color="auto" w:sz="4" w:space="0"/>
              <w:bottom w:val="single" w:color="auto" w:sz="4" w:space="0"/>
              <w:right w:val="single" w:color="auto" w:sz="4" w:space="0"/>
            </w:tcBorders>
            <w:noWrap/>
            <w:vAlign w:val="center"/>
          </w:tcPr>
          <w:p w14:paraId="5D467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13" w:type="pct"/>
            <w:tcBorders>
              <w:top w:val="single" w:color="auto" w:sz="4" w:space="0"/>
              <w:left w:val="single" w:color="auto" w:sz="4" w:space="0"/>
              <w:bottom w:val="single" w:color="auto" w:sz="4" w:space="0"/>
              <w:right w:val="single" w:color="auto" w:sz="4" w:space="0"/>
            </w:tcBorders>
            <w:noWrap/>
            <w:vAlign w:val="center"/>
          </w:tcPr>
          <w:p w14:paraId="40817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考核项目</w:t>
            </w: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7D5A8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考核内容</w:t>
            </w:r>
          </w:p>
        </w:tc>
        <w:tc>
          <w:tcPr>
            <w:tcW w:w="963" w:type="pct"/>
            <w:tcBorders>
              <w:top w:val="single" w:color="auto" w:sz="4" w:space="0"/>
              <w:left w:val="single" w:color="auto" w:sz="4" w:space="0"/>
              <w:bottom w:val="single" w:color="auto" w:sz="4" w:space="0"/>
              <w:right w:val="single" w:color="auto" w:sz="4" w:space="0"/>
            </w:tcBorders>
            <w:noWrap/>
            <w:vAlign w:val="center"/>
          </w:tcPr>
          <w:p w14:paraId="22A8D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考核评分标准</w:t>
            </w:r>
          </w:p>
        </w:tc>
        <w:tc>
          <w:tcPr>
            <w:tcW w:w="275" w:type="pct"/>
            <w:tcBorders>
              <w:top w:val="single" w:color="auto" w:sz="4" w:space="0"/>
              <w:left w:val="single" w:color="auto" w:sz="4" w:space="0"/>
              <w:bottom w:val="single" w:color="auto" w:sz="4" w:space="0"/>
              <w:right w:val="single" w:color="auto" w:sz="4" w:space="0"/>
            </w:tcBorders>
            <w:noWrap/>
            <w:vAlign w:val="center"/>
          </w:tcPr>
          <w:p w14:paraId="49A20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标准分</w:t>
            </w:r>
          </w:p>
        </w:tc>
        <w:tc>
          <w:tcPr>
            <w:tcW w:w="328" w:type="pct"/>
            <w:tcBorders>
              <w:top w:val="single" w:color="auto" w:sz="4" w:space="0"/>
              <w:left w:val="single" w:color="auto" w:sz="4" w:space="0"/>
              <w:bottom w:val="single" w:color="auto" w:sz="4" w:space="0"/>
              <w:right w:val="single" w:color="auto" w:sz="4" w:space="0"/>
            </w:tcBorders>
            <w:noWrap/>
            <w:vAlign w:val="center"/>
          </w:tcPr>
          <w:p w14:paraId="75348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考核得分</w:t>
            </w:r>
          </w:p>
        </w:tc>
        <w:tc>
          <w:tcPr>
            <w:tcW w:w="327" w:type="pct"/>
            <w:tcBorders>
              <w:top w:val="single" w:color="auto" w:sz="4" w:space="0"/>
              <w:left w:val="single" w:color="auto" w:sz="4" w:space="0"/>
              <w:bottom w:val="single" w:color="auto" w:sz="4" w:space="0"/>
              <w:right w:val="single" w:color="auto" w:sz="4" w:space="0"/>
            </w:tcBorders>
            <w:noWrap/>
            <w:vAlign w:val="center"/>
          </w:tcPr>
          <w:p w14:paraId="2C864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扣分原因</w:t>
            </w:r>
          </w:p>
        </w:tc>
      </w:tr>
      <w:tr w14:paraId="4061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042B2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一、卫生保洁（总分30分）</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14:paraId="26EB210C">
            <w:pPr>
              <w:keepNext w:val="0"/>
              <w:keepLines w:val="0"/>
              <w:widowControl/>
              <w:suppressLineNumbers w:val="0"/>
              <w:spacing w:before="0" w:beforeAutospacing="0" w:after="20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包括：室内及房屋公共部位的清洁。如：室内外运动场地、楼梯及楼梯间、电梯间、门厅、走廊通道、户外路面、玻璃门窗、会议室、卫生间、地下停车场、绿化带内杂物的清理及所有设备房</w:t>
            </w:r>
            <w:r>
              <w:rPr>
                <w:rFonts w:hint="eastAsia" w:ascii="宋体" w:hAnsi="宋体" w:eastAsia="宋体" w:cs="宋体"/>
                <w:i w:val="0"/>
                <w:iCs w:val="0"/>
                <w:color w:val="000000"/>
                <w:kern w:val="0"/>
                <w:sz w:val="20"/>
                <w:szCs w:val="20"/>
                <w:highlight w:val="none"/>
                <w:u w:val="none"/>
                <w:lang w:val="en-US" w:eastAsia="zh-CN" w:bidi="ar"/>
              </w:rPr>
              <w:br w:type="textWrapping"/>
            </w: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64B1D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w:t>
            </w: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133CB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①每天进行地面清扫，保证室内外运动场地、过道、楼梯及楼梯间、门厅、走廊通道户外路面、会议室、地下停车场地面干净整洁，无垃圾杂物</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B656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未按规定每天清扫的不得分；每发现地面垃圾杂物1处扣0.1分，连续发现3处以上的扣0.5分；连续发现5处以上的不得分。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2DBFF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109A0E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4B8EB4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E35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947D7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E57EE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6E3AFB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324B8B2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3222DD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1E6D9F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085CB5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67CEF9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768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A0D0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3D68A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203CC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7312445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24BB7A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18EB91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2B67D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6BB5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AF1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BAC3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1B5D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66E7D4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2A6B2207">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323E00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1931B2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274854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649070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267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22927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61009F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0C9D37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5E6B1ED7">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2A99F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6AF54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560DC7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52728B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A5D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FF6DE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9D1DD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0EBAD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75014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②每月使用专业扫拖机器人对两馆（游泳馆、球类综合馆）地面进行清洗，保证地面光泽度</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77C1B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未按规定定期清扫的不得分；清扫效果不佳的扣0.5分。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01949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764BC5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4E212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154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77F8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8F62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448721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005840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E9854D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258B0D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1E3555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68339D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800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627C4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CF71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26EE3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5C0DBF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67D379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72E1D4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7F4D16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05AA7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3FC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EC8D8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E91C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09C808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3A8ACD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③定期对地面卫生死角（如墙角、地板踢脚线）进行清理</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769F2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未定期清扫扣不得分。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590AC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55023A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5CC6D6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B4B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A3B6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67910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3B7DE1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1984598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4DDDF29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3BED48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330937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881EE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285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14AD1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F456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521BA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（2分）</w:t>
            </w:r>
          </w:p>
        </w:tc>
        <w:tc>
          <w:tcPr>
            <w:tcW w:w="934" w:type="pct"/>
            <w:tcBorders>
              <w:top w:val="single" w:color="auto" w:sz="4" w:space="0"/>
              <w:left w:val="single" w:color="auto" w:sz="4" w:space="0"/>
              <w:bottom w:val="single" w:color="auto" w:sz="4" w:space="0"/>
              <w:right w:val="single" w:color="auto" w:sz="4" w:space="0"/>
            </w:tcBorders>
            <w:noWrap/>
            <w:vAlign w:val="center"/>
          </w:tcPr>
          <w:p w14:paraId="6DAFB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①开放场馆主要墙面无明显污渍</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28E6B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发现明显污渍，每处扣0.1分，连续发现3处以上扣0.5分；连续发现5处以上不得分。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5ED6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tcBorders>
              <w:top w:val="single" w:color="auto" w:sz="4" w:space="0"/>
              <w:left w:val="single" w:color="auto" w:sz="4" w:space="0"/>
              <w:bottom w:val="single" w:color="auto" w:sz="4" w:space="0"/>
              <w:right w:val="single" w:color="auto" w:sz="4" w:space="0"/>
            </w:tcBorders>
            <w:noWrap/>
            <w:vAlign w:val="center"/>
          </w:tcPr>
          <w:p w14:paraId="22F19BB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20E65F5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422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92B7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63637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5F26A5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573A5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②消防栓、电灯开关、消防警报器无积尘，无脱落</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5E8E9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发现积尘、脱落，每处扣0.5分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227C1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25120B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13485D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3CC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94B14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CC930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4D4EAC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2843B8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20B905D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7CEFB2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77EEE1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1618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284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70069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2F4D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5603B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3.卫生间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w:t>
            </w: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01F0F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①卫生洁具洁净</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465B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发现明显污渍未清理的不得分。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75024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4953A1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3D652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966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59045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C9A05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1A2A20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66DE6EB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88A49D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69BA6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77816F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35E95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75E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043D2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7A0EA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4F75C8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7DDE0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②墙面四角保持干燥、无蜘蛛网、地面无脚印、杂物</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0112E2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发现蜘蛛网、杂物每处扣0.2分；连续发现3处以上的不得分。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009B8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1C09F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217CC0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512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B1726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D4404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6332E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667FCE3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7CB0F85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3C4A3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1FAC0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24DB23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770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7F96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02CE7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022397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747DC5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③镜面保持明净，无灰尘污痕、手印、水迹</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41847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镜面有明显污痕等不得分。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1D1FA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2CD5F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488495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332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0015C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65C4D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5CE9BB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2F19E1A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752085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2742F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369644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5D4FF4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7AB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EDD6D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54737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614037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6CBFF6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④金属器具保持光亮、无浮灰、水迹、锈斑</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BC70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金属器具有浮灰等不得分。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6FDE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590821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561F3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F38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023BD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7C8D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233C0D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08C39FF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161356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643054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53ED7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0F76E4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CA9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093F4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93C82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03235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ign w:val="center"/>
          </w:tcPr>
          <w:p w14:paraId="3DA45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⑤游泳馆更衣室及时补充卫生用纸</w:t>
            </w:r>
          </w:p>
        </w:tc>
        <w:tc>
          <w:tcPr>
            <w:tcW w:w="963" w:type="pct"/>
            <w:tcBorders>
              <w:top w:val="single" w:color="auto" w:sz="4" w:space="0"/>
              <w:left w:val="single" w:color="auto" w:sz="4" w:space="0"/>
              <w:bottom w:val="single" w:color="auto" w:sz="4" w:space="0"/>
              <w:right w:val="single" w:color="auto" w:sz="4" w:space="0"/>
            </w:tcBorders>
            <w:noWrap/>
            <w:vAlign w:val="center"/>
          </w:tcPr>
          <w:p w14:paraId="20FFA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未及时补充的不得分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7E93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328" w:type="pct"/>
            <w:tcBorders>
              <w:top w:val="single" w:color="auto" w:sz="4" w:space="0"/>
              <w:left w:val="single" w:color="auto" w:sz="4" w:space="0"/>
              <w:bottom w:val="single" w:color="auto" w:sz="4" w:space="0"/>
              <w:right w:val="single" w:color="auto" w:sz="4" w:space="0"/>
            </w:tcBorders>
            <w:noWrap/>
            <w:vAlign w:val="center"/>
          </w:tcPr>
          <w:p w14:paraId="1739461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787B48B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BCF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5D44E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FE83E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412446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ign w:val="center"/>
          </w:tcPr>
          <w:p w14:paraId="6BB7CA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⑥保持卫生间内空气清新</w:t>
            </w:r>
          </w:p>
        </w:tc>
        <w:tc>
          <w:tcPr>
            <w:tcW w:w="963" w:type="pct"/>
            <w:tcBorders>
              <w:top w:val="single" w:color="auto" w:sz="4" w:space="0"/>
              <w:left w:val="single" w:color="auto" w:sz="4" w:space="0"/>
              <w:bottom w:val="single" w:color="auto" w:sz="4" w:space="0"/>
              <w:right w:val="single" w:color="auto" w:sz="4" w:space="0"/>
            </w:tcBorders>
            <w:noWrap/>
            <w:vAlign w:val="center"/>
          </w:tcPr>
          <w:p w14:paraId="0BE45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有异味的不得分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8752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tcBorders>
              <w:top w:val="single" w:color="auto" w:sz="4" w:space="0"/>
              <w:left w:val="single" w:color="auto" w:sz="4" w:space="0"/>
              <w:bottom w:val="single" w:color="auto" w:sz="4" w:space="0"/>
              <w:right w:val="single" w:color="auto" w:sz="4" w:space="0"/>
            </w:tcBorders>
            <w:noWrap/>
            <w:vAlign w:val="center"/>
          </w:tcPr>
          <w:p w14:paraId="5A35767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41B4195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7193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A3A70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F8DCB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15F93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（1分）</w:t>
            </w: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041E1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定期清洗玻璃门窗，保证玻璃表面无灰尘、污渍手印、水迹</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FFF0D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未清洗不得分，玻璃明显脏污的每处扣0.1分，连续发现3处以上扣0.5分；连续发现5处以上不得分。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1AD3E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1DCC8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0A577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5A6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0F29B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366F3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3DF3C5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4531EBD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21D913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2D9C1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736EDF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47B4E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EC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BE4E0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5579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122BF2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0C1C586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443DF7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1540A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69611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1D5A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A5F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E4C5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FEBB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51FF9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5.电梯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（2分）</w:t>
            </w:r>
          </w:p>
        </w:tc>
        <w:tc>
          <w:tcPr>
            <w:tcW w:w="934" w:type="pct"/>
            <w:vMerge w:val="restart"/>
            <w:tcBorders>
              <w:top w:val="single" w:color="auto" w:sz="4" w:space="0"/>
              <w:left w:val="single" w:color="auto" w:sz="4" w:space="0"/>
              <w:bottom w:val="single" w:color="auto" w:sz="4" w:space="0"/>
              <w:right w:val="single" w:color="auto" w:sz="4" w:space="0"/>
            </w:tcBorders>
            <w:noWrap w:val="0"/>
            <w:vAlign w:val="center"/>
          </w:tcPr>
          <w:p w14:paraId="2BA40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①电梯内壁光亮、无手印、污渍</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2243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有明显脏污的每处扣0.1分，连续发现3处以上扣0.5分；连续发现5处以上不得分。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248DF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7803DE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03A39C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DE5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31688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1F7A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70256B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vMerge w:val="continue"/>
            <w:tcBorders>
              <w:top w:val="single" w:color="auto" w:sz="4" w:space="0"/>
              <w:left w:val="single" w:color="auto" w:sz="4" w:space="0"/>
              <w:bottom w:val="single" w:color="auto" w:sz="4" w:space="0"/>
              <w:right w:val="single" w:color="auto" w:sz="4" w:space="0"/>
            </w:tcBorders>
            <w:noWrap w:val="0"/>
            <w:vAlign w:val="center"/>
          </w:tcPr>
          <w:p w14:paraId="403C2F8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06181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66C449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036E6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2207C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E4A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E1DFE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6CA7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5C5B2A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ign w:val="center"/>
          </w:tcPr>
          <w:p w14:paraId="384F6B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②电梯地面干净无污渍</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75003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有明显杂物每处扣0.1分，连续发现3处以上扣0.5分；连续发现5处以上不得分。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DFD9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2737BD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6632D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84D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AC931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8A748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27962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6.更衣室及泳池（4分）</w:t>
            </w:r>
          </w:p>
        </w:tc>
        <w:tc>
          <w:tcPr>
            <w:tcW w:w="934" w:type="pct"/>
            <w:tcBorders>
              <w:top w:val="single" w:color="auto" w:sz="4" w:space="0"/>
              <w:left w:val="single" w:color="auto" w:sz="4" w:space="0"/>
              <w:bottom w:val="single" w:color="auto" w:sz="4" w:space="0"/>
              <w:right w:val="single" w:color="auto" w:sz="4" w:space="0"/>
            </w:tcBorders>
            <w:noWrap/>
            <w:vAlign w:val="center"/>
          </w:tcPr>
          <w:p w14:paraId="45C198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①更衣室内有专人打扫，一般每月清理一次防滑垫</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18B17F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未清洗不得分。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61A0E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20EDFF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03536C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D6E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720C1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85AB3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76BB5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ign w:val="center"/>
          </w:tcPr>
          <w:p w14:paraId="4B2FE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②泳池内定期清扫，每日有专人打扫吐痰槽</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3B0DC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未清理不得分。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2FC34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342B49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09B0D1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F74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06722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6F95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3721D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7.每日清运各场馆垃圾（4分）</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72034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垃圾当日不予以清运的扣1分，连续三次不得分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5D7FA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28" w:type="pct"/>
            <w:tcBorders>
              <w:top w:val="single" w:color="auto" w:sz="4" w:space="0"/>
              <w:left w:val="single" w:color="auto" w:sz="4" w:space="0"/>
              <w:bottom w:val="single" w:color="auto" w:sz="4" w:space="0"/>
              <w:right w:val="single" w:color="auto" w:sz="4" w:space="0"/>
            </w:tcBorders>
            <w:noWrap/>
            <w:vAlign w:val="center"/>
          </w:tcPr>
          <w:p w14:paraId="5D52796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6EF7FEE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09B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1FE01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F084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304962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8.临时任务、大型赛事活动积极做好保洁工作（5分）</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59C02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未做好临时工作、赛事服务的每次扣1分，月内连续三次不得分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4F95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tcBorders>
              <w:top w:val="single" w:color="auto" w:sz="4" w:space="0"/>
              <w:left w:val="single" w:color="auto" w:sz="4" w:space="0"/>
              <w:bottom w:val="single" w:color="auto" w:sz="4" w:space="0"/>
              <w:right w:val="single" w:color="auto" w:sz="4" w:space="0"/>
            </w:tcBorders>
            <w:noWrap/>
            <w:vAlign w:val="center"/>
          </w:tcPr>
          <w:p w14:paraId="35089E07">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76E6240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2A97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2A09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6018D1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5BC47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9.卫生保洁人员配备（5分）</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23F34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应到人数：</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09C0C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人员未配足，每少1人扣1分；配备人员年龄、服务质量未达合同要求，每人扣0.5分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015A7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2EDC5E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103A07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A20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DEF76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442DB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7267B1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14:paraId="2C01AC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实际到岗人数：</w:t>
            </w: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3413B2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53ECED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10818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675E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4D0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3244A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二、设施设备（总分30分）</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14:paraId="29C06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主要是指除游泳馆水循环设备外的所有设施设备的管理工作，包括但不限于消防、水电暖通、监控设备、弱电通讯设备；空调、电梯等特种设备等。</w:t>
            </w: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54EA13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1.确保各项设备运转正常；有运行记录；</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52D2A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运转不正常1处扣0.5分，连续3处不得分。未有维保记录不得分。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40C23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4BA41D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790010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753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D83A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D7787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1B99E2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2.确保钥匙、保洁工具等齐全，并有专门的记录；</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1FF3E2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工具或记录不齐全的每次扣0.2分，连续3次不得分。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61B1F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8" w:type="pct"/>
            <w:tcBorders>
              <w:top w:val="single" w:color="auto" w:sz="4" w:space="0"/>
              <w:left w:val="single" w:color="auto" w:sz="4" w:space="0"/>
              <w:bottom w:val="single" w:color="auto" w:sz="4" w:space="0"/>
              <w:right w:val="single" w:color="auto" w:sz="4" w:space="0"/>
            </w:tcBorders>
            <w:noWrap/>
            <w:vAlign w:val="center"/>
          </w:tcPr>
          <w:p w14:paraId="6685F1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C3988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ADF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0E085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DF95B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78B06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3.确保各项设备正常维保；有维保记录；</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57A9B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未进行维保不得分，未有维保记录不得分。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332B5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28" w:type="pct"/>
            <w:tcBorders>
              <w:top w:val="single" w:color="auto" w:sz="4" w:space="0"/>
              <w:left w:val="single" w:color="auto" w:sz="4" w:space="0"/>
              <w:bottom w:val="single" w:color="auto" w:sz="4" w:space="0"/>
              <w:right w:val="single" w:color="auto" w:sz="4" w:space="0"/>
            </w:tcBorders>
            <w:noWrap/>
            <w:vAlign w:val="center"/>
          </w:tcPr>
          <w:p w14:paraId="2D876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A71A8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5EE7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9FC23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3442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4A3CC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4.消防疏散设备保证运行正常，有日常巡检记录；</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187FFB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运转不正常1处扣1分，连续2处不得分。未有巡检记录不得分。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4FE7E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28" w:type="pct"/>
            <w:tcBorders>
              <w:top w:val="single" w:color="auto" w:sz="4" w:space="0"/>
              <w:left w:val="single" w:color="auto" w:sz="4" w:space="0"/>
              <w:bottom w:val="single" w:color="auto" w:sz="4" w:space="0"/>
              <w:right w:val="single" w:color="auto" w:sz="4" w:space="0"/>
            </w:tcBorders>
            <w:noWrap/>
            <w:vAlign w:val="center"/>
          </w:tcPr>
          <w:p w14:paraId="4BA091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5390C2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2A4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9978A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66F8D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21842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5.安排专人值守监控、安保系统；</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308452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未有专人值守不得分。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6C81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11DE4E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5AEF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D89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81A84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4FD2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260DBF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6.设施设备的基础资料（如管线图、水电图、强弱电布线图等）是否存档；</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4A117D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未存档不得分。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53EAB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2AAFB4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64E57C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479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52DAD4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CD3F9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78C5E5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7.水电工等专业工种必须持证上岗；</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70B518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未持证上岗不得分。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A84D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tcBorders>
              <w:top w:val="single" w:color="auto" w:sz="4" w:space="0"/>
              <w:left w:val="single" w:color="auto" w:sz="4" w:space="0"/>
              <w:bottom w:val="single" w:color="auto" w:sz="4" w:space="0"/>
              <w:right w:val="single" w:color="auto" w:sz="4" w:space="0"/>
            </w:tcBorders>
            <w:noWrap/>
            <w:vAlign w:val="center"/>
          </w:tcPr>
          <w:p w14:paraId="2B151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34FF9F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7F9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12A85B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1AF9B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09F48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8.专业技术人员是否定期进行安全培训；</w:t>
            </w:r>
          </w:p>
        </w:tc>
        <w:tc>
          <w:tcPr>
            <w:tcW w:w="934" w:type="pct"/>
            <w:tcBorders>
              <w:top w:val="single" w:color="auto" w:sz="4" w:space="0"/>
              <w:left w:val="single" w:color="auto" w:sz="4" w:space="0"/>
              <w:bottom w:val="single" w:color="auto" w:sz="4" w:space="0"/>
              <w:right w:val="single" w:color="auto" w:sz="4" w:space="0"/>
            </w:tcBorders>
            <w:noWrap/>
            <w:vAlign w:val="center"/>
          </w:tcPr>
          <w:p w14:paraId="410167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16E45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未培训不得分。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491DB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35C841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54E8C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6CC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4191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E288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57549A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9.临时任务、大型赛事活动积极做好设备配合工作（5分）</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05552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未做好临时工作、赛事服务的每次扣1分，月内连续三次不得分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2734A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tcBorders>
              <w:top w:val="single" w:color="auto" w:sz="4" w:space="0"/>
              <w:left w:val="single" w:color="auto" w:sz="4" w:space="0"/>
              <w:bottom w:val="single" w:color="auto" w:sz="4" w:space="0"/>
              <w:right w:val="single" w:color="auto" w:sz="4" w:space="0"/>
            </w:tcBorders>
            <w:noWrap/>
            <w:vAlign w:val="center"/>
          </w:tcPr>
          <w:p w14:paraId="060FEC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157D1C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100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A5725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2273D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40166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10.设备管理人员配备（5分）</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1B7FB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应到人数：</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42D598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人员未配足，每少1人扣1分；配备人员年龄、服务质量未达合同要求，每人扣0.5分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6BDD3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1E484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3D8DDB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85E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0015D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DBBA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29F2C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14:paraId="59093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实际到岗人数：</w:t>
            </w: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BA92A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68F80C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2FCB39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EA0E3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B57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705CF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三、秩序维护（30分）</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14:paraId="56302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主要是指室内外场馆的秩序维护、停车管理、志愿消防队、疏散队组建和管理等。</w:t>
            </w: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26610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1.门岗的执勤、巡视到位，遇违章现象及时阻止；</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36F90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每发现一项未到位扣1分，月内连续两次扣3分，月内连续发现三次不得分。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55A22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42F8D7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5D137D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3A41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F63EF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14E2E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1180A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2.防火、灭火措施完备，能确保在紧急情况下组织人员疏散；</w:t>
            </w: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5ADAEA5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5876AD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58B14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EA5D9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3DE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9670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032A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664C0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3.地下停车场安排专人值守，对于违章现象及时阻止；</w:t>
            </w: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6862C5B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0CB3B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174A1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0D5832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5BC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2C25C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13C06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4B8515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4.保持体育中心安全有序运营（停车管理、人员管理），在暑期高峰运营期设专人在两馆维持秩序；</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3F654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车辆停放管理不到位，每发现一辆乱停放扣1分；小商贩在中心乱摆摊没发现一次扣1分；月内连续三次扣5分，月内连续发现五次不得分。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55DB9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28" w:type="pct"/>
            <w:tcBorders>
              <w:top w:val="single" w:color="auto" w:sz="4" w:space="0"/>
              <w:left w:val="single" w:color="auto" w:sz="4" w:space="0"/>
              <w:bottom w:val="single" w:color="auto" w:sz="4" w:space="0"/>
              <w:right w:val="single" w:color="auto" w:sz="4" w:space="0"/>
            </w:tcBorders>
            <w:noWrap/>
            <w:vAlign w:val="center"/>
          </w:tcPr>
          <w:p w14:paraId="34DB8D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0036A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2EE7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DDDF0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8E606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0E40A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6.临时任务、大型赛事活动积极做好秩序维护工作；</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0DE75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未做好临时工作、赛事服务的每次扣1分，月内连续三次不得分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E628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tcBorders>
              <w:top w:val="single" w:color="auto" w:sz="4" w:space="0"/>
              <w:left w:val="single" w:color="auto" w:sz="4" w:space="0"/>
              <w:bottom w:val="single" w:color="auto" w:sz="4" w:space="0"/>
              <w:right w:val="single" w:color="auto" w:sz="4" w:space="0"/>
            </w:tcBorders>
            <w:noWrap/>
            <w:vAlign w:val="center"/>
          </w:tcPr>
          <w:p w14:paraId="00AC7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4D5F2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434B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60853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7247D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552F1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7.消防控制室人员必须经培训后持证上岗，熟练操作消控设施设备。公共场所涉及客户隐私，外部人员如需调取监控应由相关部门在场，如无不得随意调取监控；</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1EE239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未持证上岗的不得分，不能操作设施设备的不得分，随意调取监控外泄造成不良影响的不得分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3CF51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28" w:type="pct"/>
            <w:tcBorders>
              <w:top w:val="single" w:color="auto" w:sz="4" w:space="0"/>
              <w:left w:val="single" w:color="auto" w:sz="4" w:space="0"/>
              <w:bottom w:val="single" w:color="auto" w:sz="4" w:space="0"/>
              <w:right w:val="single" w:color="auto" w:sz="4" w:space="0"/>
            </w:tcBorders>
            <w:noWrap/>
            <w:vAlign w:val="center"/>
          </w:tcPr>
          <w:p w14:paraId="57F815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05D13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0D09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1B41B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F5D0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6781A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8.组建志愿消防队、疏散队并对其进行有效的培训，配合丰宏公司进行一年至少两次的消防疏散应急演习；</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7F330B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未组建志愿消防队或未进行定期消防演习的不得分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53092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69AE76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0C1669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120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3C3B76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536926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restart"/>
            <w:tcBorders>
              <w:top w:val="single" w:color="auto" w:sz="4" w:space="0"/>
              <w:left w:val="single" w:color="auto" w:sz="4" w:space="0"/>
              <w:bottom w:val="single" w:color="auto" w:sz="4" w:space="0"/>
              <w:right w:val="single" w:color="auto" w:sz="4" w:space="0"/>
            </w:tcBorders>
            <w:noWrap w:val="0"/>
            <w:vAlign w:val="center"/>
          </w:tcPr>
          <w:p w14:paraId="65DDB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9.秩序维护人员配备（5分）</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024E18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应到人数：</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0A10A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人员未配足，每少1人扣1分；配备人员年龄、服务质量未达合同要求，每人扣0.5分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440C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24F9D9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4D3447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540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6EDD09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DA2A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vMerge w:val="continue"/>
            <w:tcBorders>
              <w:top w:val="single" w:color="auto" w:sz="4" w:space="0"/>
              <w:left w:val="single" w:color="auto" w:sz="4" w:space="0"/>
              <w:bottom w:val="single" w:color="auto" w:sz="4" w:space="0"/>
              <w:right w:val="single" w:color="auto" w:sz="4" w:space="0"/>
            </w:tcBorders>
            <w:noWrap w:val="0"/>
            <w:vAlign w:val="center"/>
          </w:tcPr>
          <w:p w14:paraId="142C5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14:paraId="02EED5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实际到岗人数：</w:t>
            </w: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6AED87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0388D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6811E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17270F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6F0E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1BF04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四、其他（10分）</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14:paraId="38A8F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其他内容</w:t>
            </w: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2B113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1.配合做好丰宏公司会务接待工作</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4CB289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未配合或接到有效投诉不得分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2DC1F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3D5E28D9">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00367C0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1485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AFE9D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1C2A1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8F0B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2.不得擅自占用和改变公用设施，如需完善或扩建，须与丰宏公司联系协商，经同意后方可实施；</w:t>
            </w:r>
          </w:p>
        </w:tc>
        <w:tc>
          <w:tcPr>
            <w:tcW w:w="963" w:type="pct"/>
            <w:vMerge w:val="restart"/>
            <w:tcBorders>
              <w:top w:val="single" w:color="auto" w:sz="4" w:space="0"/>
              <w:left w:val="single" w:color="auto" w:sz="4" w:space="0"/>
              <w:bottom w:val="single" w:color="auto" w:sz="4" w:space="0"/>
              <w:right w:val="single" w:color="auto" w:sz="4" w:space="0"/>
            </w:tcBorders>
            <w:noWrap w:val="0"/>
            <w:vAlign w:val="center"/>
          </w:tcPr>
          <w:p w14:paraId="072CA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未按规定实施不得分</w:t>
            </w:r>
          </w:p>
        </w:tc>
        <w:tc>
          <w:tcPr>
            <w:tcW w:w="275" w:type="pct"/>
            <w:vMerge w:val="restart"/>
            <w:tcBorders>
              <w:top w:val="single" w:color="auto" w:sz="4" w:space="0"/>
              <w:left w:val="single" w:color="auto" w:sz="4" w:space="0"/>
              <w:bottom w:val="single" w:color="auto" w:sz="4" w:space="0"/>
              <w:right w:val="single" w:color="auto" w:sz="4" w:space="0"/>
            </w:tcBorders>
            <w:noWrap/>
            <w:vAlign w:val="center"/>
          </w:tcPr>
          <w:p w14:paraId="16B31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vMerge w:val="restart"/>
            <w:tcBorders>
              <w:top w:val="single" w:color="auto" w:sz="4" w:space="0"/>
              <w:left w:val="single" w:color="auto" w:sz="4" w:space="0"/>
              <w:bottom w:val="single" w:color="auto" w:sz="4" w:space="0"/>
              <w:right w:val="single" w:color="auto" w:sz="4" w:space="0"/>
            </w:tcBorders>
            <w:noWrap/>
            <w:vAlign w:val="center"/>
          </w:tcPr>
          <w:p w14:paraId="079933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restart"/>
            <w:tcBorders>
              <w:top w:val="single" w:color="auto" w:sz="4" w:space="0"/>
              <w:left w:val="single" w:color="auto" w:sz="4" w:space="0"/>
              <w:bottom w:val="single" w:color="auto" w:sz="4" w:space="0"/>
              <w:right w:val="single" w:color="auto" w:sz="4" w:space="0"/>
            </w:tcBorders>
            <w:noWrap/>
            <w:vAlign w:val="center"/>
          </w:tcPr>
          <w:p w14:paraId="244D01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7CD5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68DA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F92BA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C4101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963" w:type="pct"/>
            <w:vMerge w:val="continue"/>
            <w:tcBorders>
              <w:top w:val="single" w:color="auto" w:sz="4" w:space="0"/>
              <w:left w:val="single" w:color="auto" w:sz="4" w:space="0"/>
              <w:bottom w:val="single" w:color="auto" w:sz="4" w:space="0"/>
              <w:right w:val="single" w:color="auto" w:sz="4" w:space="0"/>
            </w:tcBorders>
            <w:noWrap w:val="0"/>
            <w:vAlign w:val="center"/>
          </w:tcPr>
          <w:p w14:paraId="2164AA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ign w:val="center"/>
          </w:tcPr>
          <w:p w14:paraId="49C05A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vMerge w:val="continue"/>
            <w:tcBorders>
              <w:top w:val="single" w:color="auto" w:sz="4" w:space="0"/>
              <w:left w:val="single" w:color="auto" w:sz="4" w:space="0"/>
              <w:bottom w:val="single" w:color="auto" w:sz="4" w:space="0"/>
              <w:right w:val="single" w:color="auto" w:sz="4" w:space="0"/>
            </w:tcBorders>
            <w:noWrap/>
            <w:vAlign w:val="center"/>
          </w:tcPr>
          <w:p w14:paraId="767F5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7" w:type="pct"/>
            <w:vMerge w:val="continue"/>
            <w:tcBorders>
              <w:top w:val="single" w:color="auto" w:sz="4" w:space="0"/>
              <w:left w:val="single" w:color="auto" w:sz="4" w:space="0"/>
              <w:bottom w:val="single" w:color="auto" w:sz="4" w:space="0"/>
              <w:right w:val="single" w:color="auto" w:sz="4" w:space="0"/>
            </w:tcBorders>
            <w:noWrap/>
            <w:vAlign w:val="center"/>
          </w:tcPr>
          <w:p w14:paraId="315770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14:paraId="1B09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49BA4C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20A01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0"/>
            <w:vAlign w:val="center"/>
          </w:tcPr>
          <w:p w14:paraId="466579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3.物业所有人员信息应在丰宏公司进行备案，人员变动需及时更新内容</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24768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未备案不得分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18901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5906C919">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7A8D4F6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331D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E47B7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45DD0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27CDD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4.员工管理运行符合行政主管部门规定（如电瓶车停放、充电等）</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093F4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未符合标准不得分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0561D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57BBA0E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234F75A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39B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0FBA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D96D2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634" w:type="pct"/>
            <w:gridSpan w:val="2"/>
            <w:tcBorders>
              <w:top w:val="single" w:color="auto" w:sz="4" w:space="0"/>
              <w:left w:val="single" w:color="auto" w:sz="4" w:space="0"/>
              <w:bottom w:val="single" w:color="auto" w:sz="4" w:space="0"/>
              <w:right w:val="single" w:color="auto" w:sz="4" w:space="0"/>
            </w:tcBorders>
            <w:noWrap/>
            <w:vAlign w:val="center"/>
          </w:tcPr>
          <w:p w14:paraId="5A3003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5.投标文件中承诺的其他事项是否完成；</w:t>
            </w:r>
          </w:p>
        </w:tc>
        <w:tc>
          <w:tcPr>
            <w:tcW w:w="963" w:type="pct"/>
            <w:tcBorders>
              <w:top w:val="single" w:color="auto" w:sz="4" w:space="0"/>
              <w:left w:val="single" w:color="auto" w:sz="4" w:space="0"/>
              <w:bottom w:val="single" w:color="auto" w:sz="4" w:space="0"/>
              <w:right w:val="single" w:color="auto" w:sz="4" w:space="0"/>
            </w:tcBorders>
            <w:noWrap w:val="0"/>
            <w:vAlign w:val="center"/>
          </w:tcPr>
          <w:p w14:paraId="0A6594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未完成不得分</w:t>
            </w:r>
          </w:p>
        </w:tc>
        <w:tc>
          <w:tcPr>
            <w:tcW w:w="275" w:type="pct"/>
            <w:tcBorders>
              <w:top w:val="single" w:color="auto" w:sz="4" w:space="0"/>
              <w:left w:val="single" w:color="auto" w:sz="4" w:space="0"/>
              <w:bottom w:val="single" w:color="auto" w:sz="4" w:space="0"/>
              <w:right w:val="single" w:color="auto" w:sz="4" w:space="0"/>
            </w:tcBorders>
            <w:noWrap/>
            <w:vAlign w:val="center"/>
          </w:tcPr>
          <w:p w14:paraId="7FDA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8" w:type="pct"/>
            <w:tcBorders>
              <w:top w:val="single" w:color="auto" w:sz="4" w:space="0"/>
              <w:left w:val="single" w:color="auto" w:sz="4" w:space="0"/>
              <w:bottom w:val="single" w:color="auto" w:sz="4" w:space="0"/>
              <w:right w:val="single" w:color="auto" w:sz="4" w:space="0"/>
            </w:tcBorders>
            <w:noWrap/>
            <w:vAlign w:val="center"/>
          </w:tcPr>
          <w:p w14:paraId="31FD7FC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719E374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39C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51870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五、一票否决</w:t>
            </w:r>
          </w:p>
        </w:tc>
        <w:tc>
          <w:tcPr>
            <w:tcW w:w="1113" w:type="pct"/>
            <w:vMerge w:val="restart"/>
            <w:tcBorders>
              <w:top w:val="single" w:color="auto" w:sz="4" w:space="0"/>
              <w:left w:val="single" w:color="auto" w:sz="4" w:space="0"/>
              <w:bottom w:val="single" w:color="auto" w:sz="4" w:space="0"/>
              <w:right w:val="single" w:color="auto" w:sz="4" w:space="0"/>
            </w:tcBorders>
            <w:noWrap w:val="0"/>
            <w:vAlign w:val="center"/>
          </w:tcPr>
          <w:p w14:paraId="414D8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本项目所有如有违反一票否决，当月考核为不及格，按照合同约定扣罚当月费用，直至解除合同</w:t>
            </w:r>
          </w:p>
        </w:tc>
        <w:tc>
          <w:tcPr>
            <w:tcW w:w="700" w:type="pct"/>
            <w:tcBorders>
              <w:top w:val="single" w:color="auto" w:sz="4" w:space="0"/>
              <w:left w:val="single" w:color="auto" w:sz="4" w:space="0"/>
              <w:bottom w:val="single" w:color="auto" w:sz="4" w:space="0"/>
              <w:right w:val="single" w:color="auto" w:sz="4" w:space="0"/>
            </w:tcBorders>
            <w:noWrap/>
            <w:vAlign w:val="center"/>
          </w:tcPr>
          <w:p w14:paraId="1179D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1.做好岗位责任内的安全生产工作，确保零安全生产责任事故。</w:t>
            </w:r>
          </w:p>
        </w:tc>
        <w:tc>
          <w:tcPr>
            <w:tcW w:w="934" w:type="pct"/>
            <w:tcBorders>
              <w:top w:val="single" w:color="auto" w:sz="4" w:space="0"/>
              <w:left w:val="single" w:color="auto" w:sz="4" w:space="0"/>
              <w:bottom w:val="single" w:color="auto" w:sz="4" w:space="0"/>
              <w:right w:val="single" w:color="auto" w:sz="4" w:space="0"/>
            </w:tcBorders>
            <w:noWrap/>
            <w:vAlign w:val="center"/>
          </w:tcPr>
          <w:p w14:paraId="3B97011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tcBorders>
              <w:top w:val="single" w:color="auto" w:sz="4" w:space="0"/>
              <w:left w:val="single" w:color="auto" w:sz="4" w:space="0"/>
              <w:bottom w:val="single" w:color="auto" w:sz="4" w:space="0"/>
              <w:right w:val="single" w:color="auto" w:sz="4" w:space="0"/>
            </w:tcBorders>
            <w:noWrap/>
            <w:vAlign w:val="center"/>
          </w:tcPr>
          <w:p w14:paraId="3F2DAB2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restart"/>
            <w:tcBorders>
              <w:top w:val="single" w:color="auto" w:sz="4" w:space="0"/>
              <w:left w:val="single" w:color="auto" w:sz="4" w:space="0"/>
              <w:bottom w:val="single" w:color="auto" w:sz="4" w:space="0"/>
              <w:right w:val="single" w:color="auto" w:sz="4" w:space="0"/>
            </w:tcBorders>
            <w:noWrap w:val="0"/>
            <w:vAlign w:val="center"/>
          </w:tcPr>
          <w:p w14:paraId="5F77A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是否一票否决</w:t>
            </w:r>
          </w:p>
        </w:tc>
        <w:tc>
          <w:tcPr>
            <w:tcW w:w="328" w:type="pct"/>
            <w:tcBorders>
              <w:top w:val="single" w:color="auto" w:sz="4" w:space="0"/>
              <w:left w:val="single" w:color="auto" w:sz="4" w:space="0"/>
              <w:bottom w:val="single" w:color="auto" w:sz="4" w:space="0"/>
              <w:right w:val="single" w:color="auto" w:sz="4" w:space="0"/>
            </w:tcBorders>
            <w:noWrap/>
            <w:vAlign w:val="center"/>
          </w:tcPr>
          <w:p w14:paraId="20ABEFE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0EE093D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3B11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7B10BA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31ABC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49DB14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2.被行政主管部门通报批评造成不良影响的。</w:t>
            </w:r>
          </w:p>
        </w:tc>
        <w:tc>
          <w:tcPr>
            <w:tcW w:w="934" w:type="pct"/>
            <w:tcBorders>
              <w:top w:val="single" w:color="auto" w:sz="4" w:space="0"/>
              <w:left w:val="single" w:color="auto" w:sz="4" w:space="0"/>
              <w:bottom w:val="single" w:color="auto" w:sz="4" w:space="0"/>
              <w:right w:val="single" w:color="auto" w:sz="4" w:space="0"/>
            </w:tcBorders>
            <w:noWrap/>
            <w:vAlign w:val="center"/>
          </w:tcPr>
          <w:p w14:paraId="1D59C45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tcBorders>
              <w:top w:val="single" w:color="auto" w:sz="4" w:space="0"/>
              <w:left w:val="single" w:color="auto" w:sz="4" w:space="0"/>
              <w:bottom w:val="single" w:color="auto" w:sz="4" w:space="0"/>
              <w:right w:val="single" w:color="auto" w:sz="4" w:space="0"/>
            </w:tcBorders>
            <w:noWrap/>
            <w:vAlign w:val="center"/>
          </w:tcPr>
          <w:p w14:paraId="29658AF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7795C9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tcBorders>
              <w:top w:val="single" w:color="auto" w:sz="4" w:space="0"/>
              <w:left w:val="single" w:color="auto" w:sz="4" w:space="0"/>
              <w:bottom w:val="single" w:color="auto" w:sz="4" w:space="0"/>
              <w:right w:val="single" w:color="auto" w:sz="4" w:space="0"/>
            </w:tcBorders>
            <w:noWrap/>
            <w:vAlign w:val="center"/>
          </w:tcPr>
          <w:p w14:paraId="449A4E1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595F4FF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6B3A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229727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7920CB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50849F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3.接到有效投诉并造成严重社会影响的。</w:t>
            </w:r>
          </w:p>
        </w:tc>
        <w:tc>
          <w:tcPr>
            <w:tcW w:w="934" w:type="pct"/>
            <w:tcBorders>
              <w:top w:val="single" w:color="auto" w:sz="4" w:space="0"/>
              <w:left w:val="single" w:color="auto" w:sz="4" w:space="0"/>
              <w:bottom w:val="single" w:color="auto" w:sz="4" w:space="0"/>
              <w:right w:val="single" w:color="auto" w:sz="4" w:space="0"/>
            </w:tcBorders>
            <w:noWrap/>
            <w:vAlign w:val="center"/>
          </w:tcPr>
          <w:p w14:paraId="38CA56C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tcBorders>
              <w:top w:val="single" w:color="auto" w:sz="4" w:space="0"/>
              <w:left w:val="single" w:color="auto" w:sz="4" w:space="0"/>
              <w:bottom w:val="single" w:color="auto" w:sz="4" w:space="0"/>
              <w:right w:val="single" w:color="auto" w:sz="4" w:space="0"/>
            </w:tcBorders>
            <w:noWrap/>
            <w:vAlign w:val="center"/>
          </w:tcPr>
          <w:p w14:paraId="519A8E5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2FD2F1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tcBorders>
              <w:top w:val="single" w:color="auto" w:sz="4" w:space="0"/>
              <w:left w:val="single" w:color="auto" w:sz="4" w:space="0"/>
              <w:bottom w:val="single" w:color="auto" w:sz="4" w:space="0"/>
              <w:right w:val="single" w:color="auto" w:sz="4" w:space="0"/>
            </w:tcBorders>
            <w:noWrap/>
            <w:vAlign w:val="center"/>
          </w:tcPr>
          <w:p w14:paraId="12CAAA7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5480FD8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32FD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14:paraId="0CD5A8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13" w:type="pct"/>
            <w:vMerge w:val="continue"/>
            <w:tcBorders>
              <w:top w:val="single" w:color="auto" w:sz="4" w:space="0"/>
              <w:left w:val="single" w:color="auto" w:sz="4" w:space="0"/>
              <w:bottom w:val="single" w:color="auto" w:sz="4" w:space="0"/>
              <w:right w:val="single" w:color="auto" w:sz="4" w:space="0"/>
            </w:tcBorders>
            <w:noWrap w:val="0"/>
            <w:vAlign w:val="center"/>
          </w:tcPr>
          <w:p w14:paraId="01C37F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700" w:type="pct"/>
            <w:tcBorders>
              <w:top w:val="single" w:color="auto" w:sz="4" w:space="0"/>
              <w:left w:val="single" w:color="auto" w:sz="4" w:space="0"/>
              <w:bottom w:val="single" w:color="auto" w:sz="4" w:space="0"/>
              <w:right w:val="single" w:color="auto" w:sz="4" w:space="0"/>
            </w:tcBorders>
            <w:noWrap/>
            <w:vAlign w:val="center"/>
          </w:tcPr>
          <w:p w14:paraId="74A7D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4.其他对业主单位造成严重经济或者社会影响的。</w:t>
            </w:r>
          </w:p>
        </w:tc>
        <w:tc>
          <w:tcPr>
            <w:tcW w:w="934" w:type="pct"/>
            <w:tcBorders>
              <w:top w:val="single" w:color="auto" w:sz="4" w:space="0"/>
              <w:left w:val="single" w:color="auto" w:sz="4" w:space="0"/>
              <w:bottom w:val="single" w:color="auto" w:sz="4" w:space="0"/>
              <w:right w:val="single" w:color="auto" w:sz="4" w:space="0"/>
            </w:tcBorders>
            <w:noWrap/>
            <w:vAlign w:val="center"/>
          </w:tcPr>
          <w:p w14:paraId="3DA816D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963" w:type="pct"/>
            <w:tcBorders>
              <w:top w:val="single" w:color="auto" w:sz="4" w:space="0"/>
              <w:left w:val="single" w:color="auto" w:sz="4" w:space="0"/>
              <w:bottom w:val="single" w:color="auto" w:sz="4" w:space="0"/>
              <w:right w:val="single" w:color="auto" w:sz="4" w:space="0"/>
            </w:tcBorders>
            <w:noWrap/>
            <w:vAlign w:val="center"/>
          </w:tcPr>
          <w:p w14:paraId="60F3F0E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47105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328" w:type="pct"/>
            <w:tcBorders>
              <w:top w:val="single" w:color="auto" w:sz="4" w:space="0"/>
              <w:left w:val="single" w:color="auto" w:sz="4" w:space="0"/>
              <w:bottom w:val="single" w:color="auto" w:sz="4" w:space="0"/>
              <w:right w:val="single" w:color="auto" w:sz="4" w:space="0"/>
            </w:tcBorders>
            <w:noWrap/>
            <w:vAlign w:val="center"/>
          </w:tcPr>
          <w:p w14:paraId="3D82329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3BFBB7BF">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786D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344" w:type="pct"/>
            <w:gridSpan w:val="6"/>
            <w:tcBorders>
              <w:top w:val="single" w:color="auto" w:sz="4" w:space="0"/>
              <w:left w:val="single" w:color="auto" w:sz="4" w:space="0"/>
              <w:bottom w:val="single" w:color="auto" w:sz="4" w:space="0"/>
              <w:right w:val="single" w:color="auto" w:sz="4" w:space="0"/>
            </w:tcBorders>
            <w:noWrap w:val="0"/>
            <w:vAlign w:val="center"/>
          </w:tcPr>
          <w:p w14:paraId="0777F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得分</w:t>
            </w:r>
          </w:p>
        </w:tc>
        <w:tc>
          <w:tcPr>
            <w:tcW w:w="328" w:type="pct"/>
            <w:tcBorders>
              <w:top w:val="single" w:color="auto" w:sz="4" w:space="0"/>
              <w:left w:val="single" w:color="auto" w:sz="4" w:space="0"/>
              <w:bottom w:val="single" w:color="auto" w:sz="4" w:space="0"/>
              <w:right w:val="single" w:color="auto" w:sz="4" w:space="0"/>
            </w:tcBorders>
            <w:noWrap/>
            <w:vAlign w:val="center"/>
          </w:tcPr>
          <w:p w14:paraId="5CB626E9">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327" w:type="pct"/>
            <w:tcBorders>
              <w:top w:val="single" w:color="auto" w:sz="4" w:space="0"/>
              <w:left w:val="single" w:color="auto" w:sz="4" w:space="0"/>
              <w:bottom w:val="single" w:color="auto" w:sz="4" w:space="0"/>
              <w:right w:val="single" w:color="auto" w:sz="4" w:space="0"/>
            </w:tcBorders>
            <w:noWrap/>
            <w:vAlign w:val="center"/>
          </w:tcPr>
          <w:p w14:paraId="1BFE493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1EF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70" w:type="pct"/>
            <w:gridSpan w:val="2"/>
            <w:tcBorders>
              <w:top w:val="single" w:color="auto" w:sz="4" w:space="0"/>
              <w:left w:val="single" w:color="auto" w:sz="4" w:space="0"/>
              <w:bottom w:val="single" w:color="auto" w:sz="4" w:space="0"/>
              <w:right w:val="single" w:color="auto" w:sz="4" w:space="0"/>
            </w:tcBorders>
            <w:noWrap w:val="0"/>
            <w:vAlign w:val="center"/>
          </w:tcPr>
          <w:p w14:paraId="2B2FF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考核人员（签字）</w:t>
            </w:r>
          </w:p>
        </w:tc>
        <w:tc>
          <w:tcPr>
            <w:tcW w:w="2598" w:type="pct"/>
            <w:gridSpan w:val="3"/>
            <w:tcBorders>
              <w:top w:val="single" w:color="auto" w:sz="4" w:space="0"/>
              <w:left w:val="single" w:color="auto" w:sz="4" w:space="0"/>
              <w:bottom w:val="single" w:color="auto" w:sz="4" w:space="0"/>
              <w:right w:val="single" w:color="auto" w:sz="4" w:space="0"/>
            </w:tcBorders>
            <w:noWrap/>
            <w:vAlign w:val="center"/>
          </w:tcPr>
          <w:p w14:paraId="0820CB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03" w:type="pct"/>
            <w:gridSpan w:val="2"/>
            <w:tcBorders>
              <w:top w:val="single" w:color="auto" w:sz="4" w:space="0"/>
              <w:left w:val="single" w:color="auto" w:sz="4" w:space="0"/>
              <w:bottom w:val="single" w:color="auto" w:sz="4" w:space="0"/>
              <w:right w:val="single" w:color="auto" w:sz="4" w:space="0"/>
            </w:tcBorders>
            <w:noWrap w:val="0"/>
            <w:vAlign w:val="center"/>
          </w:tcPr>
          <w:p w14:paraId="2B6FF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被考核人（签字）</w:t>
            </w:r>
          </w:p>
        </w:tc>
        <w:tc>
          <w:tcPr>
            <w:tcW w:w="327" w:type="pct"/>
            <w:tcBorders>
              <w:top w:val="single" w:color="auto" w:sz="4" w:space="0"/>
              <w:left w:val="single" w:color="auto" w:sz="4" w:space="0"/>
              <w:bottom w:val="single" w:color="auto" w:sz="4" w:space="0"/>
              <w:right w:val="single" w:color="auto" w:sz="4" w:space="0"/>
            </w:tcBorders>
            <w:noWrap/>
            <w:vAlign w:val="center"/>
          </w:tcPr>
          <w:p w14:paraId="70ACD3E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722E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restart"/>
            <w:tcBorders>
              <w:top w:val="single" w:color="auto" w:sz="4" w:space="0"/>
              <w:left w:val="single" w:color="auto" w:sz="4" w:space="0"/>
              <w:bottom w:val="single" w:color="auto" w:sz="4" w:space="0"/>
              <w:right w:val="single" w:color="auto" w:sz="4" w:space="0"/>
            </w:tcBorders>
            <w:noWrap/>
            <w:vAlign w:val="center"/>
          </w:tcPr>
          <w:p w14:paraId="6A46B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c>
          <w:tcPr>
            <w:tcW w:w="4643" w:type="pct"/>
            <w:gridSpan w:val="7"/>
            <w:tcBorders>
              <w:top w:val="single" w:color="auto" w:sz="4" w:space="0"/>
              <w:left w:val="single" w:color="auto" w:sz="4" w:space="0"/>
              <w:bottom w:val="single" w:color="auto" w:sz="4" w:space="0"/>
              <w:right w:val="single" w:color="auto" w:sz="4" w:space="0"/>
            </w:tcBorders>
            <w:noWrap/>
            <w:vAlign w:val="center"/>
          </w:tcPr>
          <w:p w14:paraId="27645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1.物业考评采用随机考评人员在每季度随机时间抽查的方式进行。</w:t>
            </w:r>
          </w:p>
        </w:tc>
      </w:tr>
      <w:tr w14:paraId="1963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ign w:val="center"/>
          </w:tcPr>
          <w:p w14:paraId="6EAB02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643" w:type="pct"/>
            <w:gridSpan w:val="7"/>
            <w:tcBorders>
              <w:top w:val="single" w:color="auto" w:sz="4" w:space="0"/>
              <w:left w:val="single" w:color="auto" w:sz="4" w:space="0"/>
              <w:bottom w:val="single" w:color="auto" w:sz="4" w:space="0"/>
              <w:right w:val="single" w:color="auto" w:sz="4" w:space="0"/>
            </w:tcBorders>
            <w:noWrap/>
            <w:vAlign w:val="center"/>
          </w:tcPr>
          <w:p w14:paraId="3F850B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2.本考核表检查考核达95分以上的，按合同约定支付相应服务管理费；检查考核95分以下的，每降低一分扣除应付合同金额的1%。</w:t>
            </w:r>
          </w:p>
        </w:tc>
      </w:tr>
      <w:tr w14:paraId="2864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ign w:val="center"/>
          </w:tcPr>
          <w:p w14:paraId="461FBB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643" w:type="pct"/>
            <w:gridSpan w:val="7"/>
            <w:tcBorders>
              <w:top w:val="single" w:color="auto" w:sz="4" w:space="0"/>
              <w:left w:val="single" w:color="auto" w:sz="4" w:space="0"/>
              <w:bottom w:val="single" w:color="auto" w:sz="4" w:space="0"/>
              <w:right w:val="single" w:color="auto" w:sz="4" w:space="0"/>
            </w:tcBorders>
            <w:noWrap/>
            <w:vAlign w:val="center"/>
          </w:tcPr>
          <w:p w14:paraId="20AFA1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3.本考评表内容可能随丰宏公司工作内容变化而作出的相应改动，如改动应第一时间通知物业方面。</w:t>
            </w:r>
          </w:p>
        </w:tc>
      </w:tr>
      <w:tr w14:paraId="18B5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continue"/>
            <w:tcBorders>
              <w:top w:val="single" w:color="auto" w:sz="4" w:space="0"/>
              <w:left w:val="single" w:color="auto" w:sz="4" w:space="0"/>
              <w:bottom w:val="single" w:color="auto" w:sz="4" w:space="0"/>
              <w:right w:val="single" w:color="auto" w:sz="4" w:space="0"/>
            </w:tcBorders>
            <w:noWrap/>
            <w:vAlign w:val="center"/>
          </w:tcPr>
          <w:p w14:paraId="1B3128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643" w:type="pct"/>
            <w:gridSpan w:val="7"/>
            <w:tcBorders>
              <w:top w:val="single" w:color="auto" w:sz="4" w:space="0"/>
              <w:left w:val="single" w:color="auto" w:sz="4" w:space="0"/>
              <w:bottom w:val="single" w:color="auto" w:sz="4" w:space="0"/>
              <w:right w:val="single" w:color="auto" w:sz="4" w:space="0"/>
            </w:tcBorders>
            <w:noWrap/>
            <w:vAlign w:val="center"/>
          </w:tcPr>
          <w:p w14:paraId="4DDF7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4.被考核人对考核分数有异议的，可以在考核得分送达三日内向考核人及上级单位进行申诉，超过三日视为同意考核结果。</w:t>
            </w:r>
          </w:p>
        </w:tc>
      </w:tr>
      <w:tr w14:paraId="103D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6" w:type="pct"/>
            <w:vMerge w:val="restart"/>
            <w:tcBorders>
              <w:top w:val="single" w:color="auto" w:sz="4" w:space="0"/>
              <w:left w:val="single" w:color="auto" w:sz="4" w:space="0"/>
              <w:bottom w:val="single" w:color="auto" w:sz="4" w:space="0"/>
              <w:right w:val="single" w:color="auto" w:sz="4" w:space="0"/>
            </w:tcBorders>
            <w:noWrap/>
            <w:vAlign w:val="center"/>
          </w:tcPr>
          <w:p w14:paraId="44673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4643" w:type="pct"/>
            <w:gridSpan w:val="7"/>
            <w:vMerge w:val="restart"/>
            <w:tcBorders>
              <w:top w:val="single" w:color="auto" w:sz="4" w:space="0"/>
              <w:left w:val="single" w:color="auto" w:sz="4" w:space="0"/>
              <w:bottom w:val="single" w:color="auto" w:sz="4" w:space="0"/>
              <w:right w:val="single" w:color="auto" w:sz="4" w:space="0"/>
            </w:tcBorders>
            <w:noWrap/>
            <w:vAlign w:val="center"/>
          </w:tcPr>
          <w:p w14:paraId="58705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r>
      <w:tr w14:paraId="2E2A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356" w:type="pct"/>
            <w:vMerge w:val="continue"/>
            <w:tcBorders>
              <w:top w:val="single" w:color="auto" w:sz="4" w:space="0"/>
              <w:left w:val="single" w:color="auto" w:sz="4" w:space="0"/>
              <w:bottom w:val="single" w:color="auto" w:sz="4" w:space="0"/>
              <w:right w:val="single" w:color="000000" w:sz="4" w:space="0"/>
            </w:tcBorders>
            <w:noWrap/>
            <w:vAlign w:val="center"/>
          </w:tcPr>
          <w:p w14:paraId="6B9149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4643" w:type="pct"/>
            <w:gridSpan w:val="7"/>
            <w:vMerge w:val="continue"/>
            <w:tcBorders>
              <w:top w:val="single" w:color="auto" w:sz="4" w:space="0"/>
              <w:left w:val="single" w:color="000000" w:sz="4" w:space="0"/>
              <w:bottom w:val="single" w:color="auto" w:sz="4" w:space="0"/>
              <w:right w:val="single" w:color="auto" w:sz="4" w:space="0"/>
            </w:tcBorders>
            <w:noWrap/>
            <w:vAlign w:val="center"/>
          </w:tcPr>
          <w:p w14:paraId="7F8F65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r>
    </w:tbl>
    <w:p w14:paraId="140AE468">
      <w:pPr>
        <w:spacing w:line="560" w:lineRule="exact"/>
        <w:rPr>
          <w:rFonts w:hint="eastAsia" w:ascii="宋体" w:hAnsi="宋体" w:eastAsia="宋体" w:cs="宋体"/>
          <w:b/>
          <w:color w:val="000000"/>
          <w:szCs w:val="21"/>
          <w:highlight w:val="none"/>
        </w:rPr>
      </w:pPr>
    </w:p>
    <w:p w14:paraId="5054E955">
      <w:pPr>
        <w:adjustRightInd w:val="0"/>
        <w:snapToGrid w:val="0"/>
        <w:spacing w:line="360" w:lineRule="auto"/>
        <w:rPr>
          <w:rFonts w:hint="eastAsia" w:ascii="宋体" w:hAnsi="宋体" w:eastAsia="宋体" w:cs="宋体"/>
          <w:b/>
          <w:bCs/>
          <w:szCs w:val="21"/>
          <w:highlight w:val="none"/>
        </w:rPr>
        <w:sectPr>
          <w:headerReference r:id="rId9" w:type="default"/>
          <w:footerReference r:id="rId10" w:type="default"/>
          <w:pgSz w:w="11906" w:h="16838"/>
          <w:pgMar w:top="1247" w:right="1247" w:bottom="1247" w:left="1247" w:header="851" w:footer="346" w:gutter="0"/>
          <w:pgNumType w:start="1"/>
          <w:cols w:space="720" w:num="1"/>
          <w:docGrid w:type="lines" w:linePitch="312" w:charSpace="0"/>
        </w:sectPr>
      </w:pPr>
      <w:r>
        <w:rPr>
          <w:rFonts w:hint="eastAsia" w:ascii="宋体" w:hAnsi="宋体" w:eastAsia="宋体" w:cs="宋体"/>
          <w:b/>
          <w:sz w:val="24"/>
          <w:highlight w:val="none"/>
        </w:rPr>
        <w:t>招标人保留对合同文本的修改和完善的权利。</w:t>
      </w:r>
    </w:p>
    <w:bookmarkEnd w:id="46"/>
    <w:bookmarkEnd w:id="47"/>
    <w:bookmarkEnd w:id="48"/>
    <w:p w14:paraId="2BFD17F5">
      <w:pPr>
        <w:snapToGrid w:val="0"/>
        <w:spacing w:line="360" w:lineRule="auto"/>
        <w:rPr>
          <w:rFonts w:hint="eastAsia" w:ascii="宋体" w:hAnsi="宋体" w:eastAsia="宋体" w:cs="宋体"/>
          <w:sz w:val="24"/>
          <w:highlight w:val="none"/>
        </w:rPr>
      </w:pPr>
    </w:p>
    <w:p w14:paraId="08EDE405">
      <w:pPr>
        <w:pStyle w:val="265"/>
        <w:spacing w:before="312" w:after="312"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第</w:t>
      </w:r>
      <w:r>
        <w:rPr>
          <w:rFonts w:hint="eastAsia" w:ascii="宋体" w:hAnsi="宋体" w:eastAsia="宋体" w:cs="宋体"/>
          <w:sz w:val="36"/>
          <w:szCs w:val="36"/>
          <w:highlight w:val="none"/>
          <w:lang w:val="en-US" w:eastAsia="zh-CN"/>
        </w:rPr>
        <w:t>六</w:t>
      </w:r>
      <w:r>
        <w:rPr>
          <w:rFonts w:hint="eastAsia" w:ascii="宋体" w:hAnsi="宋体" w:eastAsia="宋体" w:cs="宋体"/>
          <w:sz w:val="36"/>
          <w:szCs w:val="36"/>
          <w:highlight w:val="none"/>
        </w:rPr>
        <w:t>章 质疑提出和处理</w:t>
      </w:r>
    </w:p>
    <w:p w14:paraId="1CE8C70F">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一、质疑的提出</w:t>
      </w:r>
    </w:p>
    <w:p w14:paraId="148A601D">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1.质疑人必须是直接参加本次投标活动的当事人。</w:t>
      </w:r>
    </w:p>
    <w:p w14:paraId="055176BD">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5A04872">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49FBB236">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89EBE3F">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对不能提供相关佐证材料的、涉及商业秘密的、非书面形式的、非送达的、匿名的《质疑函》将不予受理。</w:t>
      </w:r>
    </w:p>
    <w:p w14:paraId="206AA721">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相关佐证材料要具备客观性、关联性、合法性，无法查实的（如宣传册、媒体报道、猜测、推理等）不能作为佐证材料。</w:t>
      </w:r>
    </w:p>
    <w:p w14:paraId="2AA15222">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招标人或代理机构不负责搜集相关佐证材料等工作。</w:t>
      </w:r>
    </w:p>
    <w:p w14:paraId="23C96AFA">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二、《质疑函》的受理和回复</w:t>
      </w:r>
    </w:p>
    <w:p w14:paraId="0AF17C24">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1.《质疑函》须由质疑人的法定代表人或参加本次投标授权人送达招标人和代理机构。</w:t>
      </w:r>
    </w:p>
    <w:p w14:paraId="2C1086F3">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39C0732E">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3.对不符合提出质疑要求的，出具《质疑退回通知书》并提出相关补充材料要求，质疑人未在规定的时间内提供补充佐证材料的，视同放弃质疑。</w:t>
      </w:r>
    </w:p>
    <w:p w14:paraId="6D5D7FEF">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4.招标人、代理机构负责将质疑人提出的质疑相关材料提供给相关专家或评标小组审核，并将审核意见回复质疑人。</w:t>
      </w:r>
    </w:p>
    <w:p w14:paraId="44D7E1D7">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65328CB">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5.因质疑情况复杂，组织论证或审查时间较长的，招标人、代理机构以书面形式通知质疑人，可适当延长质疑回复处理时间。</w:t>
      </w:r>
    </w:p>
    <w:p w14:paraId="4C7B400D">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三、质疑处理</w:t>
      </w:r>
    </w:p>
    <w:p w14:paraId="4B2840AF">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1.质疑成立的处理。招标人或代理机构终止采购，并建议有关部门给相关当事人予以处理。</w:t>
      </w:r>
    </w:p>
    <w:p w14:paraId="4A7135A2">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2.质疑不成立的处理。</w:t>
      </w:r>
    </w:p>
    <w:p w14:paraId="1EC12347">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1）质疑人书面申请撤回《质疑函》的，不作违约处理。</w:t>
      </w:r>
    </w:p>
    <w:p w14:paraId="5736ACE1">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2）质疑人在规定的时间内不配合进行质疑调查处理的，按自动撤回《质疑函》处理。</w:t>
      </w:r>
    </w:p>
    <w:p w14:paraId="6CC9FDF6">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3）质疑人不按《质疑函》格式提出质疑的，作违约处理。同时，视情列入不良投标人名单。</w:t>
      </w:r>
    </w:p>
    <w:p w14:paraId="22B97A25">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4）质疑人虽提供了相关佐证材料，但不能证明其质疑成立的，招标人或代理机构请质疑人补充相关佐证材料，仍不能证明其质疑成立的，作违约处理。并将其列入不良投标人名单。</w:t>
      </w:r>
    </w:p>
    <w:p w14:paraId="4EBF7AA0">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5）质疑人不能提供相关佐证材料的，招标人、代理机构已指出，质疑人仍然坚持提出质疑的，作违约处理。同时，列入不良投标人名单。</w:t>
      </w:r>
    </w:p>
    <w:p w14:paraId="47865469">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6）对明显有违事实的、经相关专家或评标小组认定无依据的、经其他投标人举证无依据的质疑，作违约处理，列入不良投标人名单；视情在区、市、省、国家级相关媒体予以披露。</w:t>
      </w:r>
    </w:p>
    <w:p w14:paraId="0F8D1B0D">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7）质疑人承担使用虚假材料或恶意方式质疑的法律责任。</w:t>
      </w:r>
    </w:p>
    <w:p w14:paraId="64F5EB73">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14:paraId="4E59CE6B">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五、投诉不成立的作违约处理。投标人进行质疑后，招标人回复质疑不成立，投标人仍进行投诉的，并最终投诉不成立的，作违约处理。招标人有权对其在1至3年内禁入由招标人组织的招标活动的违约处理。</w:t>
      </w:r>
    </w:p>
    <w:p w14:paraId="79AA3A64">
      <w:pPr>
        <w:tabs>
          <w:tab w:val="left" w:pos="6946"/>
        </w:tabs>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六、《质疑函》《质疑回复函》，质疑、举报、投诉不成立等相关情况，视情在区、市、省、国家级等相关媒体予以披露。并建议相关机构对该投标人同步实施1至3年内禁入。</w:t>
      </w:r>
    </w:p>
    <w:p w14:paraId="711706F3">
      <w:pPr>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七、质疑投标人对招标人或代理机构的答复不满意或者招标人或代理机构未在规定的时间内作出答复的，可以在答复期满后15个工作日内向有关部门投诉。</w:t>
      </w:r>
    </w:p>
    <w:bookmarkEnd w:id="45"/>
    <w:p w14:paraId="7BD202BB">
      <w:pPr>
        <w:pStyle w:val="265"/>
        <w:spacing w:before="312" w:after="312"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r>
        <w:rPr>
          <w:rFonts w:hint="eastAsia" w:ascii="宋体" w:hAnsi="宋体" w:eastAsia="宋体" w:cs="宋体"/>
          <w:sz w:val="36"/>
          <w:szCs w:val="36"/>
          <w:highlight w:val="none"/>
        </w:rPr>
        <w:t>第七章 投标文件格式</w:t>
      </w:r>
    </w:p>
    <w:p w14:paraId="2B7A6D77">
      <w:pPr>
        <w:spacing w:line="360" w:lineRule="auto"/>
        <w:ind w:firstLine="487" w:firstLineChars="202"/>
        <w:contextualSpacing/>
        <w:rPr>
          <w:rFonts w:hint="eastAsia" w:ascii="宋体" w:hAnsi="宋体" w:eastAsia="宋体" w:cs="宋体"/>
          <w:sz w:val="32"/>
          <w:szCs w:val="32"/>
          <w:highlight w:val="none"/>
        </w:rPr>
      </w:pPr>
      <w:r>
        <w:rPr>
          <w:rFonts w:hint="eastAsia" w:ascii="宋体" w:hAnsi="宋体" w:eastAsia="宋体" w:cs="宋体"/>
          <w:b/>
          <w:bCs/>
          <w:sz w:val="24"/>
          <w:highlight w:val="none"/>
        </w:rPr>
        <w:br w:type="page"/>
      </w:r>
      <w:r>
        <w:rPr>
          <w:rFonts w:hint="eastAsia" w:ascii="宋体" w:hAnsi="宋体" w:eastAsia="宋体" w:cs="宋体"/>
          <w:sz w:val="32"/>
          <w:szCs w:val="32"/>
          <w:highlight w:val="none"/>
        </w:rPr>
        <w:t>附件：</w:t>
      </w:r>
    </w:p>
    <w:p w14:paraId="378DA4C2">
      <w:pPr>
        <w:spacing w:line="360" w:lineRule="auto"/>
        <w:ind w:firstLine="640" w:firstLineChars="200"/>
        <w:rPr>
          <w:rFonts w:hint="eastAsia" w:ascii="宋体" w:hAnsi="宋体" w:eastAsia="宋体" w:cs="宋体"/>
          <w:sz w:val="32"/>
          <w:szCs w:val="32"/>
          <w:highlight w:val="none"/>
        </w:rPr>
      </w:pPr>
    </w:p>
    <w:p w14:paraId="6CF2B0C0">
      <w:pPr>
        <w:spacing w:line="360" w:lineRule="auto"/>
        <w:jc w:val="center"/>
        <w:rPr>
          <w:rFonts w:hint="eastAsia" w:ascii="宋体" w:hAnsi="宋体" w:eastAsia="宋体" w:cs="宋体"/>
          <w:b/>
          <w:bCs/>
          <w:sz w:val="36"/>
          <w:szCs w:val="36"/>
          <w:highlight w:val="none"/>
        </w:rPr>
      </w:pPr>
    </w:p>
    <w:p w14:paraId="5CB73523">
      <w:pPr>
        <w:spacing w:line="360" w:lineRule="auto"/>
        <w:jc w:val="center"/>
        <w:rPr>
          <w:rFonts w:hint="eastAsia" w:ascii="宋体" w:hAnsi="宋体" w:eastAsia="宋体" w:cs="宋体"/>
          <w:sz w:val="36"/>
          <w:szCs w:val="36"/>
          <w:highlight w:val="none"/>
        </w:rPr>
      </w:pPr>
      <w:r>
        <w:rPr>
          <w:rFonts w:hint="eastAsia" w:ascii="宋体" w:hAnsi="宋体" w:eastAsia="宋体" w:cs="宋体"/>
          <w:bCs/>
          <w:sz w:val="36"/>
          <w:szCs w:val="36"/>
          <w:highlight w:val="none"/>
          <w:lang w:bidi="ar"/>
        </w:rPr>
        <w:t>体育中心物业劳务分包</w:t>
      </w:r>
    </w:p>
    <w:p w14:paraId="7D3DEF3F">
      <w:pPr>
        <w:spacing w:line="360" w:lineRule="auto"/>
        <w:rPr>
          <w:rFonts w:hint="eastAsia" w:ascii="宋体" w:hAnsi="宋体" w:eastAsia="宋体" w:cs="宋体"/>
          <w:sz w:val="36"/>
          <w:szCs w:val="36"/>
          <w:highlight w:val="none"/>
        </w:rPr>
      </w:pPr>
    </w:p>
    <w:p w14:paraId="30E28793">
      <w:pPr>
        <w:spacing w:line="36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14:paraId="0F688C05">
      <w:pPr>
        <w:spacing w:line="360" w:lineRule="auto"/>
        <w:rPr>
          <w:rFonts w:hint="eastAsia" w:ascii="宋体" w:hAnsi="宋体" w:eastAsia="宋体" w:cs="宋体"/>
          <w:sz w:val="28"/>
          <w:szCs w:val="28"/>
          <w:highlight w:val="none"/>
        </w:rPr>
      </w:pPr>
    </w:p>
    <w:p w14:paraId="647700DC">
      <w:pPr>
        <w:spacing w:line="360" w:lineRule="exact"/>
        <w:ind w:firstLine="1920" w:firstLineChars="800"/>
        <w:rPr>
          <w:rFonts w:hint="eastAsia" w:ascii="宋体" w:hAnsi="宋体" w:eastAsia="宋体" w:cs="宋体"/>
          <w:sz w:val="24"/>
          <w:highlight w:val="none"/>
        </w:rPr>
      </w:pPr>
      <w:r>
        <w:rPr>
          <w:rFonts w:hint="eastAsia" w:ascii="宋体" w:hAnsi="宋体" w:eastAsia="宋体" w:cs="宋体"/>
          <w:sz w:val="24"/>
          <w:highlight w:val="none"/>
        </w:rPr>
        <w:t>对应投标文件，相应填写：资格审查文件</w:t>
      </w:r>
    </w:p>
    <w:p w14:paraId="57D9BB45">
      <w:pPr>
        <w:spacing w:line="360" w:lineRule="exact"/>
        <w:ind w:firstLine="4800" w:firstLineChars="2000"/>
        <w:rPr>
          <w:rFonts w:hint="eastAsia" w:ascii="宋体" w:hAnsi="宋体" w:eastAsia="宋体" w:cs="宋体"/>
          <w:sz w:val="24"/>
          <w:highlight w:val="none"/>
        </w:rPr>
      </w:pPr>
      <w:r>
        <w:rPr>
          <w:rFonts w:hint="eastAsia" w:ascii="宋体" w:hAnsi="宋体" w:eastAsia="宋体" w:cs="宋体"/>
          <w:sz w:val="24"/>
          <w:highlight w:val="none"/>
        </w:rPr>
        <w:t>技术标</w:t>
      </w:r>
    </w:p>
    <w:p w14:paraId="243337D5">
      <w:pPr>
        <w:spacing w:line="360" w:lineRule="exact"/>
        <w:ind w:firstLine="4800" w:firstLineChars="20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商务标</w:t>
      </w:r>
    </w:p>
    <w:p w14:paraId="303EF7E5">
      <w:pPr>
        <w:snapToGrid w:val="0"/>
        <w:spacing w:line="520" w:lineRule="exact"/>
        <w:jc w:val="center"/>
        <w:rPr>
          <w:rFonts w:hint="eastAsia" w:ascii="宋体" w:hAnsi="宋体" w:eastAsia="宋体" w:cs="宋体"/>
          <w:b/>
          <w:sz w:val="44"/>
          <w:szCs w:val="44"/>
          <w:highlight w:val="none"/>
        </w:rPr>
      </w:pPr>
    </w:p>
    <w:p w14:paraId="7AE1A261">
      <w:pPr>
        <w:snapToGrid w:val="0"/>
        <w:spacing w:line="520" w:lineRule="exact"/>
        <w:jc w:val="center"/>
        <w:rPr>
          <w:rFonts w:hint="eastAsia" w:ascii="宋体" w:hAnsi="宋体" w:eastAsia="宋体" w:cs="宋体"/>
          <w:b/>
          <w:sz w:val="44"/>
          <w:szCs w:val="44"/>
          <w:highlight w:val="none"/>
        </w:rPr>
      </w:pPr>
    </w:p>
    <w:p w14:paraId="747AE231">
      <w:pPr>
        <w:snapToGrid w:val="0"/>
        <w:spacing w:line="520" w:lineRule="exact"/>
        <w:jc w:val="center"/>
        <w:rPr>
          <w:rFonts w:hint="eastAsia" w:ascii="宋体" w:hAnsi="宋体" w:eastAsia="宋体" w:cs="宋体"/>
          <w:b/>
          <w:sz w:val="44"/>
          <w:szCs w:val="44"/>
          <w:highlight w:val="none"/>
        </w:rPr>
      </w:pPr>
    </w:p>
    <w:p w14:paraId="6EDF5375">
      <w:pPr>
        <w:snapToGrid w:val="0"/>
        <w:spacing w:line="520" w:lineRule="exact"/>
        <w:jc w:val="center"/>
        <w:rPr>
          <w:rFonts w:hint="eastAsia" w:ascii="宋体" w:hAnsi="宋体" w:eastAsia="宋体" w:cs="宋体"/>
          <w:b/>
          <w:sz w:val="44"/>
          <w:szCs w:val="44"/>
          <w:highlight w:val="none"/>
        </w:rPr>
      </w:pPr>
    </w:p>
    <w:p w14:paraId="051EBA0C">
      <w:pPr>
        <w:snapToGrid w:val="0"/>
        <w:spacing w:line="520" w:lineRule="exact"/>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 xml:space="preserve"> </w:t>
      </w:r>
    </w:p>
    <w:p w14:paraId="0F8093E7">
      <w:pPr>
        <w:pStyle w:val="87"/>
        <w:ind w:left="0" w:leftChars="0" w:firstLine="0" w:firstLineChars="0"/>
        <w:rPr>
          <w:rFonts w:hint="eastAsia" w:ascii="宋体" w:hAnsi="宋体" w:eastAsia="宋体" w:cs="宋体"/>
          <w:sz w:val="28"/>
          <w:szCs w:val="28"/>
          <w:highlight w:val="none"/>
        </w:rPr>
      </w:pPr>
    </w:p>
    <w:p w14:paraId="65CF6AE4">
      <w:pPr>
        <w:pStyle w:val="70"/>
        <w:rPr>
          <w:rFonts w:hint="eastAsia" w:ascii="宋体" w:hAnsi="宋体" w:eastAsia="宋体" w:cs="宋体"/>
          <w:highlight w:val="none"/>
        </w:rPr>
      </w:pPr>
    </w:p>
    <w:p w14:paraId="1E107633">
      <w:pPr>
        <w:pStyle w:val="34"/>
        <w:rPr>
          <w:rFonts w:hint="eastAsia" w:ascii="宋体" w:hAnsi="宋体" w:eastAsia="宋体" w:cs="宋体"/>
          <w:sz w:val="28"/>
          <w:szCs w:val="28"/>
          <w:highlight w:val="none"/>
        </w:rPr>
      </w:pPr>
    </w:p>
    <w:p w14:paraId="42EDCB7E">
      <w:pPr>
        <w:rPr>
          <w:rFonts w:hint="eastAsia" w:ascii="宋体" w:hAnsi="宋体" w:eastAsia="宋体" w:cs="宋体"/>
          <w:highlight w:val="none"/>
        </w:rPr>
      </w:pPr>
    </w:p>
    <w:p w14:paraId="223A4B85">
      <w:pPr>
        <w:spacing w:line="360" w:lineRule="auto"/>
        <w:ind w:firstLine="1920" w:firstLineChars="600"/>
        <w:rPr>
          <w:rFonts w:hint="eastAsia" w:ascii="宋体" w:hAnsi="宋体" w:eastAsia="宋体" w:cs="宋体"/>
          <w:sz w:val="32"/>
          <w:szCs w:val="32"/>
          <w:highlight w:val="none"/>
        </w:rPr>
      </w:pPr>
      <w:r>
        <w:rPr>
          <w:rFonts w:hint="eastAsia" w:ascii="宋体" w:hAnsi="宋体" w:eastAsia="宋体" w:cs="宋体"/>
          <w:sz w:val="32"/>
          <w:szCs w:val="32"/>
          <w:highlight w:val="none"/>
        </w:rPr>
        <w:t>投标人：参加投标人全称（公章）</w:t>
      </w:r>
    </w:p>
    <w:p w14:paraId="3537634B">
      <w:pPr>
        <w:spacing w:line="360" w:lineRule="auto"/>
        <w:ind w:firstLine="1920" w:firstLineChars="600"/>
        <w:rPr>
          <w:rFonts w:hint="eastAsia" w:ascii="宋体" w:hAnsi="宋体" w:eastAsia="宋体" w:cs="宋体"/>
          <w:sz w:val="32"/>
          <w:szCs w:val="32"/>
          <w:highlight w:val="none"/>
        </w:rPr>
      </w:pPr>
      <w:r>
        <w:rPr>
          <w:rFonts w:hint="eastAsia" w:ascii="宋体" w:hAnsi="宋体" w:eastAsia="宋体" w:cs="宋体"/>
          <w:sz w:val="32"/>
          <w:szCs w:val="32"/>
          <w:highlight w:val="none"/>
        </w:rPr>
        <w:t>日  期：      年  月  日</w:t>
      </w:r>
    </w:p>
    <w:p w14:paraId="62210E13">
      <w:pPr>
        <w:snapToGrid w:val="0"/>
        <w:spacing w:line="360" w:lineRule="auto"/>
        <w:rPr>
          <w:rFonts w:hint="eastAsia" w:ascii="宋体" w:hAnsi="宋体" w:eastAsia="宋体" w:cs="宋体"/>
          <w:b/>
          <w:bCs/>
          <w:sz w:val="28"/>
          <w:szCs w:val="28"/>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一</w:t>
      </w:r>
      <w:r>
        <w:rPr>
          <w:rFonts w:hint="eastAsia" w:ascii="宋体" w:hAnsi="宋体" w:eastAsia="宋体" w:cs="宋体"/>
          <w:b/>
          <w:bCs/>
          <w:sz w:val="28"/>
          <w:szCs w:val="28"/>
          <w:highlight w:val="none"/>
        </w:rPr>
        <w:t>、资格审查文件</w:t>
      </w:r>
    </w:p>
    <w:p w14:paraId="6B363013">
      <w:pPr>
        <w:spacing w:line="360" w:lineRule="auto"/>
        <w:jc w:val="left"/>
        <w:rPr>
          <w:rFonts w:hint="eastAsia" w:ascii="宋体" w:hAnsi="宋体" w:eastAsia="宋体" w:cs="宋体"/>
          <w:b/>
          <w:bCs/>
          <w:sz w:val="24"/>
          <w:highlight w:val="none"/>
        </w:rPr>
      </w:pPr>
    </w:p>
    <w:p w14:paraId="365658A6">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1.法定代表人身份证明</w:t>
      </w:r>
    </w:p>
    <w:p w14:paraId="76FBEB33">
      <w:pPr>
        <w:spacing w:line="360" w:lineRule="auto"/>
        <w:jc w:val="center"/>
        <w:rPr>
          <w:rFonts w:hint="eastAsia" w:ascii="宋体" w:hAnsi="宋体" w:eastAsia="宋体" w:cs="宋体"/>
          <w:sz w:val="24"/>
          <w:highlight w:val="none"/>
        </w:rPr>
      </w:pPr>
    </w:p>
    <w:p w14:paraId="004D9CE8">
      <w:pPr>
        <w:spacing w:line="360" w:lineRule="auto"/>
        <w:rPr>
          <w:rFonts w:hint="eastAsia" w:ascii="宋体" w:hAnsi="宋体" w:eastAsia="宋体" w:cs="宋体"/>
          <w:sz w:val="24"/>
          <w:highlight w:val="none"/>
        </w:rPr>
      </w:pPr>
    </w:p>
    <w:p w14:paraId="37D52C6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南通中宏环境发展有限公司：</w:t>
      </w:r>
    </w:p>
    <w:p w14:paraId="5A96EEFD">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我公司法定代表人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参加贵单位组织的</w:t>
      </w:r>
      <w:r>
        <w:rPr>
          <w:rFonts w:hint="eastAsia" w:ascii="宋体" w:hAnsi="宋体" w:eastAsia="宋体" w:cs="宋体"/>
          <w:sz w:val="24"/>
          <w:highlight w:val="none"/>
          <w:u w:val="single"/>
          <w:lang w:eastAsia="zh-CN"/>
        </w:rPr>
        <w:t>体育中心物业劳务分包</w:t>
      </w:r>
      <w:r>
        <w:rPr>
          <w:rFonts w:hint="eastAsia" w:ascii="宋体" w:hAnsi="宋体" w:eastAsia="宋体" w:cs="宋体"/>
          <w:sz w:val="24"/>
          <w:highlight w:val="none"/>
        </w:rPr>
        <w:t>招标活动进行投标，全权代表我公司处理投标的有关事宜。</w:t>
      </w:r>
    </w:p>
    <w:p w14:paraId="4F6E1DBA">
      <w:pPr>
        <w:snapToGrid w:val="0"/>
        <w:spacing w:line="360" w:lineRule="auto"/>
        <w:ind w:firstLine="560"/>
        <w:rPr>
          <w:rFonts w:hint="eastAsia" w:ascii="宋体" w:hAnsi="宋体" w:eastAsia="宋体" w:cs="宋体"/>
          <w:sz w:val="24"/>
          <w:highlight w:val="none"/>
        </w:rPr>
      </w:pPr>
    </w:p>
    <w:p w14:paraId="79B2D53B">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附：法定代表人情况：</w:t>
      </w:r>
    </w:p>
    <w:p w14:paraId="6DA6181C">
      <w:pPr>
        <w:snapToGrid w:val="0"/>
        <w:spacing w:line="360" w:lineRule="auto"/>
        <w:ind w:firstLine="484" w:firstLineChars="202"/>
        <w:rPr>
          <w:rFonts w:hint="eastAsia"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07F42E87">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7E6961A1">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手机：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p>
    <w:p w14:paraId="4CFB102A">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 </w:t>
      </w:r>
    </w:p>
    <w:p w14:paraId="243F828A">
      <w:pPr>
        <w:snapToGrid w:val="0"/>
        <w:spacing w:line="360" w:lineRule="auto"/>
        <w:ind w:firstLine="560"/>
        <w:rPr>
          <w:rFonts w:hint="eastAsia" w:ascii="宋体" w:hAnsi="宋体" w:eastAsia="宋体" w:cs="宋体"/>
          <w:sz w:val="24"/>
          <w:highlight w:val="none"/>
        </w:rPr>
      </w:pPr>
    </w:p>
    <w:p w14:paraId="013F1D44">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单位名称（公章）                   法定代表人（签字或盖章）</w:t>
      </w:r>
    </w:p>
    <w:p w14:paraId="05B054D7">
      <w:pPr>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 xml:space="preserve">年   月   日                      年   月    日   </w:t>
      </w:r>
    </w:p>
    <w:p w14:paraId="2881B092">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8E355FC">
      <w:pPr>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59264" behindDoc="1" locked="0" layoutInCell="1" allowOverlap="1">
                <wp:simplePos x="0" y="0"/>
                <wp:positionH relativeFrom="column">
                  <wp:posOffset>72390</wp:posOffset>
                </wp:positionH>
                <wp:positionV relativeFrom="paragraph">
                  <wp:posOffset>183515</wp:posOffset>
                </wp:positionV>
                <wp:extent cx="5524500" cy="17526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5524500"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7927D2"/>
                        </w:txbxContent>
                      </wps:txbx>
                      <wps:bodyPr wrap="square" upright="1"/>
                    </wps:wsp>
                  </a:graphicData>
                </a:graphic>
              </wp:anchor>
            </w:drawing>
          </mc:Choice>
          <mc:Fallback>
            <w:pict>
              <v:rect id="矩形 2" o:spid="_x0000_s1026" o:spt="1" style="position:absolute;left:0pt;margin-left:5.7pt;margin-top:14.45pt;height:138pt;width:435pt;z-index:-251657216;mso-width-relative:page;mso-height-relative:page;" fillcolor="#FFFFFF" filled="t" stroked="t"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Dtso9YAAAAJAQAADwAAAAAAAAABACAAAAAiAAAA&#10;ZHJzL2Rvd25yZXYueG1sUEsBAhQAFAAAAAgAh07iQPhHAD0JAgAAOAQAAA4AAAAAAAAAAQAgAAAA&#10;JQEAAGRycy9lMm9Eb2MueG1sUEsFBgAAAAAGAAYAWQEAAKAFAAAAAA==&#10;">
                <v:fill on="t" focussize="0,0"/>
                <v:stroke color="#000000" joinstyle="miter"/>
                <v:imagedata o:title=""/>
                <o:lock v:ext="edit" aspectratio="f"/>
                <v:textbox>
                  <w:txbxContent>
                    <w:p w14:paraId="5C7927D2"/>
                  </w:txbxContent>
                </v:textbox>
              </v:rect>
            </w:pict>
          </mc:Fallback>
        </mc:AlternateContent>
      </w:r>
      <w:r>
        <w:rPr>
          <w:rFonts w:hint="eastAsia" w:ascii="宋体" w:hAnsi="宋体" w:eastAsia="宋体" w:cs="宋体"/>
          <w:sz w:val="24"/>
          <w:highlight w:val="none"/>
        </w:rPr>
        <w:t xml:space="preserve"> </w:t>
      </w:r>
    </w:p>
    <w:p w14:paraId="564E8060">
      <w:pPr>
        <w:spacing w:line="360" w:lineRule="auto"/>
        <w:rPr>
          <w:rFonts w:hint="eastAsia" w:ascii="宋体" w:hAnsi="宋体" w:eastAsia="宋体" w:cs="宋体"/>
          <w:sz w:val="24"/>
          <w:highlight w:val="none"/>
        </w:rPr>
      </w:pPr>
    </w:p>
    <w:p w14:paraId="17BB5D90">
      <w:pPr>
        <w:spacing w:line="360" w:lineRule="auto"/>
        <w:rPr>
          <w:rFonts w:hint="eastAsia" w:ascii="宋体" w:hAnsi="宋体" w:eastAsia="宋体" w:cs="宋体"/>
          <w:sz w:val="24"/>
          <w:highlight w:val="none"/>
        </w:rPr>
      </w:pPr>
    </w:p>
    <w:p w14:paraId="0B345449">
      <w:pPr>
        <w:spacing w:line="360" w:lineRule="auto"/>
        <w:ind w:firstLine="3000" w:firstLineChars="1250"/>
        <w:rPr>
          <w:rFonts w:hint="eastAsia" w:ascii="宋体" w:hAnsi="宋体" w:eastAsia="宋体" w:cs="宋体"/>
          <w:sz w:val="24"/>
          <w:highlight w:val="none"/>
        </w:rPr>
      </w:pPr>
      <w:r>
        <w:rPr>
          <w:rFonts w:hint="eastAsia" w:ascii="宋体" w:hAnsi="宋体" w:eastAsia="宋体" w:cs="宋体"/>
          <w:sz w:val="24"/>
          <w:highlight w:val="none"/>
        </w:rPr>
        <w:t>法定代表人身份证复印件或扫描件</w:t>
      </w:r>
    </w:p>
    <w:p w14:paraId="3611A6B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173ADAD">
      <w:pPr>
        <w:spacing w:line="360" w:lineRule="auto"/>
        <w:ind w:firstLine="2289" w:firstLineChars="950"/>
        <w:rPr>
          <w:rFonts w:hint="eastAsia" w:ascii="宋体" w:hAnsi="宋体" w:eastAsia="宋体" w:cs="宋体"/>
          <w:b/>
          <w:bCs/>
          <w:sz w:val="24"/>
          <w:highlight w:val="none"/>
        </w:rPr>
      </w:pPr>
    </w:p>
    <w:p w14:paraId="0B888F2B">
      <w:pPr>
        <w:spacing w:line="360" w:lineRule="auto"/>
        <w:rPr>
          <w:rFonts w:hint="eastAsia" w:ascii="宋体" w:hAnsi="宋体" w:eastAsia="宋体" w:cs="宋体"/>
          <w:b/>
          <w:bCs/>
          <w:sz w:val="24"/>
          <w:highlight w:val="none"/>
        </w:rPr>
      </w:pPr>
    </w:p>
    <w:p w14:paraId="47D24A4D">
      <w:pPr>
        <w:spacing w:line="360" w:lineRule="auto"/>
        <w:rPr>
          <w:rFonts w:hint="eastAsia" w:ascii="宋体" w:hAnsi="宋体" w:eastAsia="宋体" w:cs="宋体"/>
          <w:b/>
          <w:bCs/>
          <w:sz w:val="24"/>
          <w:highlight w:val="none"/>
        </w:rPr>
      </w:pPr>
    </w:p>
    <w:p w14:paraId="03D9E1FD">
      <w:pPr>
        <w:spacing w:line="360" w:lineRule="auto"/>
        <w:rPr>
          <w:rFonts w:hint="eastAsia" w:ascii="宋体" w:hAnsi="宋体" w:eastAsia="宋体" w:cs="宋体"/>
          <w:highlight w:val="none"/>
        </w:rPr>
      </w:pPr>
    </w:p>
    <w:p w14:paraId="0BD59D8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422EF1BD">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2.授权委托书</w:t>
      </w:r>
    </w:p>
    <w:p w14:paraId="178EB374">
      <w:pPr>
        <w:snapToGrid w:val="0"/>
        <w:spacing w:line="360" w:lineRule="auto"/>
        <w:rPr>
          <w:rFonts w:hint="eastAsia" w:ascii="宋体" w:hAnsi="宋体" w:eastAsia="宋体" w:cs="宋体"/>
          <w:bCs/>
          <w:sz w:val="24"/>
          <w:highlight w:val="none"/>
        </w:rPr>
      </w:pPr>
      <w:bookmarkStart w:id="58" w:name="_Toc360526534"/>
    </w:p>
    <w:p w14:paraId="0818F547">
      <w:pPr>
        <w:snapToGrid w:val="0"/>
        <w:spacing w:line="360" w:lineRule="auto"/>
        <w:rPr>
          <w:rFonts w:hint="eastAsia" w:ascii="宋体" w:hAnsi="宋体" w:eastAsia="宋体" w:cs="宋体"/>
          <w:bCs/>
          <w:sz w:val="24"/>
          <w:highlight w:val="none"/>
        </w:rPr>
      </w:pPr>
      <w:r>
        <w:rPr>
          <w:rFonts w:hint="eastAsia" w:ascii="宋体" w:hAnsi="宋体" w:eastAsia="宋体" w:cs="宋体"/>
          <w:sz w:val="24"/>
          <w:highlight w:val="none"/>
        </w:rPr>
        <w:t>南通中宏环境发展有限公司：</w:t>
      </w:r>
    </w:p>
    <w:p w14:paraId="2E41FD1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兹授权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被授权人的姓名）代表我公司参加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体育中心物业劳务分包</w:t>
      </w:r>
      <w:r>
        <w:rPr>
          <w:rFonts w:hint="eastAsia" w:ascii="宋体" w:hAnsi="宋体" w:eastAsia="宋体" w:cs="宋体"/>
          <w:sz w:val="24"/>
          <w:highlight w:val="none"/>
        </w:rPr>
        <w:t>投标活动，全权处理一切与该项目公开招标有关的事务。其在办理上述事宜过程中所签署的所有文件我公司均予以承认。</w:t>
      </w:r>
    </w:p>
    <w:p w14:paraId="06A9C5D3">
      <w:pPr>
        <w:pStyle w:val="45"/>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6687C513">
      <w:pPr>
        <w:pStyle w:val="45"/>
        <w:adjustRightInd w:val="0"/>
        <w:snapToGrid w:val="0"/>
        <w:spacing w:line="360" w:lineRule="auto"/>
        <w:ind w:firstLine="480" w:firstLineChars="200"/>
        <w:jc w:val="left"/>
        <w:rPr>
          <w:rFonts w:hint="eastAsia" w:ascii="宋体" w:hAnsi="宋体" w:eastAsia="宋体" w:cs="宋体"/>
          <w:sz w:val="24"/>
          <w:szCs w:val="24"/>
          <w:highlight w:val="none"/>
        </w:rPr>
      </w:pPr>
    </w:p>
    <w:p w14:paraId="2B77946D">
      <w:pPr>
        <w:spacing w:line="360" w:lineRule="auto"/>
        <w:rPr>
          <w:rFonts w:hint="eastAsia" w:ascii="宋体" w:hAnsi="宋体" w:eastAsia="宋体" w:cs="宋体"/>
          <w:sz w:val="24"/>
          <w:highlight w:val="none"/>
        </w:rPr>
      </w:pPr>
      <w:r>
        <w:rPr>
          <w:rFonts w:hint="eastAsia" w:ascii="宋体" w:hAnsi="宋体" w:eastAsia="宋体" w:cs="宋体"/>
          <w:sz w:val="24"/>
          <w:highlight w:val="none"/>
        </w:rPr>
        <w:t>附：被授权人情况：</w:t>
      </w:r>
    </w:p>
    <w:p w14:paraId="700D70A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14:paraId="4C9FCD99">
      <w:pPr>
        <w:spacing w:line="360" w:lineRule="auto"/>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13AD7F28">
      <w:pPr>
        <w:spacing w:line="360" w:lineRule="auto"/>
        <w:rPr>
          <w:rFonts w:hint="eastAsia" w:ascii="宋体" w:hAnsi="宋体" w:eastAsia="宋体" w:cs="宋体"/>
          <w:sz w:val="24"/>
          <w:highlight w:val="none"/>
        </w:rPr>
      </w:pPr>
      <w:r>
        <w:rPr>
          <w:rFonts w:hint="eastAsia" w:ascii="宋体" w:hAnsi="宋体" w:eastAsia="宋体" w:cs="宋体"/>
          <w:sz w:val="24"/>
          <w:highlight w:val="none"/>
        </w:rPr>
        <w:t>手机：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34FA7C0B">
      <w:pPr>
        <w:spacing w:line="360" w:lineRule="auto"/>
        <w:rPr>
          <w:rFonts w:hint="eastAsia" w:ascii="宋体" w:hAnsi="宋体" w:eastAsia="宋体" w:cs="宋体"/>
          <w:sz w:val="24"/>
          <w:highlight w:val="none"/>
        </w:rPr>
      </w:pPr>
    </w:p>
    <w:p w14:paraId="49B79782">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单位名称（公章）             法定代表人（签字或盖章）</w:t>
      </w:r>
    </w:p>
    <w:p w14:paraId="69595016">
      <w:pPr>
        <w:spacing w:line="360" w:lineRule="auto"/>
        <w:ind w:firstLine="1200" w:firstLineChars="500"/>
        <w:rPr>
          <w:rFonts w:hint="eastAsia" w:ascii="宋体" w:hAnsi="宋体" w:eastAsia="宋体" w:cs="宋体"/>
          <w:sz w:val="24"/>
          <w:highlight w:val="none"/>
        </w:rPr>
      </w:pPr>
      <w:r>
        <w:rPr>
          <w:rFonts w:hint="eastAsia" w:ascii="宋体" w:hAnsi="宋体" w:eastAsia="宋体" w:cs="宋体"/>
          <w:sz w:val="24"/>
          <w:highlight w:val="none"/>
        </w:rPr>
        <w:t xml:space="preserve">年   月   日                 年   月    日  </w:t>
      </w:r>
    </w:p>
    <w:p w14:paraId="7AE826C3">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5A180B5E">
      <w:pPr>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0288" behindDoc="1" locked="0" layoutInCell="1" allowOverlap="1">
                <wp:simplePos x="0" y="0"/>
                <wp:positionH relativeFrom="column">
                  <wp:posOffset>-3810</wp:posOffset>
                </wp:positionH>
                <wp:positionV relativeFrom="paragraph">
                  <wp:posOffset>154305</wp:posOffset>
                </wp:positionV>
                <wp:extent cx="5692140" cy="1844040"/>
                <wp:effectExtent l="4445" t="4445" r="18415" b="18415"/>
                <wp:wrapNone/>
                <wp:docPr id="2" name="矩形 4"/>
                <wp:cNvGraphicFramePr/>
                <a:graphic xmlns:a="http://schemas.openxmlformats.org/drawingml/2006/main">
                  <a:graphicData uri="http://schemas.microsoft.com/office/word/2010/wordprocessingShape">
                    <wps:wsp>
                      <wps:cNvSpPr/>
                      <wps:spPr>
                        <a:xfrm>
                          <a:off x="0" y="0"/>
                          <a:ext cx="5692140" cy="1844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F01B72"/>
                        </w:txbxContent>
                      </wps:txbx>
                      <wps:bodyPr wrap="square" upright="1"/>
                    </wps:wsp>
                  </a:graphicData>
                </a:graphic>
              </wp:anchor>
            </w:drawing>
          </mc:Choice>
          <mc:Fallback>
            <w:pict>
              <v:rect id="矩形 4" o:spid="_x0000_s1026" o:spt="1" style="position:absolute;left:0pt;margin-left:-0.3pt;margin-top:12.15pt;height:145.2pt;width:448.2pt;z-index:-251656192;mso-width-relative:page;mso-height-relative:page;" fillcolor="#FFFFFF" filled="t" stroked="t" coordsize="21600,21600"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YGzfdgAAAAIAQAADwAAAAAAAAABACAAAAAi&#10;AAAAZHJzL2Rvd25yZXYueG1sUEsBAhQAFAAAAAgAh07iQK9NkFQKAgAAOAQAAA4AAAAAAAAAAQAg&#10;AAAAJwEAAGRycy9lMm9Eb2MueG1sUEsFBgAAAAAGAAYAWQEAAKMFAAAAAA==&#10;">
                <v:fill on="t" focussize="0,0"/>
                <v:stroke color="#000000" joinstyle="miter"/>
                <v:imagedata o:title=""/>
                <o:lock v:ext="edit" aspectratio="f"/>
                <v:textbox>
                  <w:txbxContent>
                    <w:p w14:paraId="0DF01B72"/>
                  </w:txbxContent>
                </v:textbox>
              </v:rect>
            </w:pict>
          </mc:Fallback>
        </mc:AlternateContent>
      </w:r>
    </w:p>
    <w:p w14:paraId="2DE08EB1">
      <w:pPr>
        <w:spacing w:line="360" w:lineRule="auto"/>
        <w:rPr>
          <w:rFonts w:hint="eastAsia" w:ascii="宋体" w:hAnsi="宋体" w:eastAsia="宋体" w:cs="宋体"/>
          <w:sz w:val="24"/>
          <w:highlight w:val="none"/>
        </w:rPr>
      </w:pPr>
    </w:p>
    <w:p w14:paraId="565F02B8">
      <w:pPr>
        <w:spacing w:line="360" w:lineRule="auto"/>
        <w:ind w:firstLine="3000" w:firstLineChars="1250"/>
        <w:rPr>
          <w:rFonts w:hint="eastAsia" w:ascii="宋体" w:hAnsi="宋体" w:eastAsia="宋体" w:cs="宋体"/>
          <w:sz w:val="24"/>
          <w:highlight w:val="none"/>
        </w:rPr>
      </w:pPr>
      <w:r>
        <w:rPr>
          <w:rFonts w:hint="eastAsia" w:ascii="宋体" w:hAnsi="宋体" w:eastAsia="宋体" w:cs="宋体"/>
          <w:sz w:val="24"/>
          <w:highlight w:val="none"/>
        </w:rPr>
        <w:t>被授权人身份证复印件或扫描件</w:t>
      </w:r>
    </w:p>
    <w:p w14:paraId="26077CC2">
      <w:pPr>
        <w:spacing w:line="360" w:lineRule="auto"/>
        <w:rPr>
          <w:rFonts w:hint="eastAsia" w:ascii="宋体" w:hAnsi="宋体" w:eastAsia="宋体" w:cs="宋体"/>
          <w:sz w:val="24"/>
          <w:highlight w:val="none"/>
        </w:rPr>
      </w:pPr>
    </w:p>
    <w:p w14:paraId="465BEEEE">
      <w:pPr>
        <w:spacing w:line="360" w:lineRule="auto"/>
        <w:ind w:firstLine="2280" w:firstLineChars="950"/>
        <w:rPr>
          <w:rFonts w:hint="eastAsia" w:ascii="宋体" w:hAnsi="宋体" w:eastAsia="宋体" w:cs="宋体"/>
          <w:sz w:val="24"/>
          <w:highlight w:val="none"/>
        </w:rPr>
      </w:pPr>
    </w:p>
    <w:p w14:paraId="6710427E">
      <w:pPr>
        <w:spacing w:line="360" w:lineRule="auto"/>
        <w:ind w:firstLine="2289" w:firstLineChars="950"/>
        <w:rPr>
          <w:rFonts w:hint="eastAsia" w:ascii="宋体" w:hAnsi="宋体" w:eastAsia="宋体" w:cs="宋体"/>
          <w:b/>
          <w:bCs/>
          <w:sz w:val="24"/>
          <w:highlight w:val="none"/>
        </w:rPr>
      </w:pPr>
    </w:p>
    <w:p w14:paraId="57276DBF">
      <w:pPr>
        <w:spacing w:line="360" w:lineRule="auto"/>
        <w:rPr>
          <w:rFonts w:hint="eastAsia" w:ascii="宋体" w:hAnsi="宋体" w:eastAsia="宋体" w:cs="宋体"/>
          <w:b/>
          <w:bCs/>
          <w:sz w:val="24"/>
          <w:highlight w:val="none"/>
        </w:rPr>
      </w:pPr>
    </w:p>
    <w:p w14:paraId="28369E5C">
      <w:pPr>
        <w:snapToGrid w:val="0"/>
        <w:spacing w:line="360" w:lineRule="auto"/>
        <w:jc w:val="center"/>
        <w:outlineLvl w:val="4"/>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59246DE9">
      <w:pPr>
        <w:pStyle w:val="357"/>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3.承诺书</w:t>
      </w:r>
    </w:p>
    <w:p w14:paraId="0E699153">
      <w:pPr>
        <w:rPr>
          <w:rFonts w:hint="eastAsia" w:ascii="宋体" w:hAnsi="宋体" w:eastAsia="宋体" w:cs="宋体"/>
          <w:highlight w:val="none"/>
        </w:rPr>
      </w:pPr>
    </w:p>
    <w:p w14:paraId="4F778FC4">
      <w:pPr>
        <w:widowControl/>
        <w:snapToGrid w:val="0"/>
        <w:spacing w:line="360" w:lineRule="auto"/>
        <w:jc w:val="left"/>
        <w:rPr>
          <w:rFonts w:hint="eastAsia" w:ascii="宋体" w:hAnsi="宋体" w:eastAsia="宋体" w:cs="宋体"/>
          <w:sz w:val="23"/>
          <w:szCs w:val="23"/>
          <w:highlight w:val="none"/>
        </w:rPr>
      </w:pPr>
      <w:r>
        <w:rPr>
          <w:rFonts w:hint="eastAsia" w:ascii="宋体" w:hAnsi="宋体" w:eastAsia="宋体" w:cs="宋体"/>
          <w:sz w:val="23"/>
          <w:szCs w:val="23"/>
          <w:highlight w:val="none"/>
          <w:u w:val="single"/>
        </w:rPr>
        <w:t>南通中宏环境发展有限公司</w:t>
      </w:r>
      <w:r>
        <w:rPr>
          <w:rFonts w:hint="eastAsia" w:ascii="宋体" w:hAnsi="宋体" w:eastAsia="宋体" w:cs="宋体"/>
          <w:sz w:val="23"/>
          <w:szCs w:val="23"/>
          <w:highlight w:val="none"/>
        </w:rPr>
        <w:t>：</w:t>
      </w:r>
    </w:p>
    <w:p w14:paraId="41DE37C8">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我方参加你方的</w:t>
      </w:r>
      <w:r>
        <w:rPr>
          <w:rFonts w:hint="eastAsia" w:ascii="宋体" w:hAnsi="宋体" w:eastAsia="宋体" w:cs="宋体"/>
          <w:b/>
          <w:sz w:val="23"/>
          <w:szCs w:val="23"/>
          <w:highlight w:val="none"/>
          <w:u w:val="single"/>
        </w:rPr>
        <w:t xml:space="preserve">                          </w:t>
      </w:r>
      <w:r>
        <w:rPr>
          <w:rFonts w:hint="eastAsia" w:ascii="宋体" w:hAnsi="宋体" w:eastAsia="宋体" w:cs="宋体"/>
          <w:sz w:val="23"/>
          <w:szCs w:val="23"/>
          <w:highlight w:val="none"/>
        </w:rPr>
        <w:t>（以下简称“本项目”）的投标，现我方法定代表人向你方</w:t>
      </w:r>
      <w:r>
        <w:rPr>
          <w:rFonts w:hint="eastAsia" w:ascii="宋体" w:hAnsi="宋体" w:eastAsia="宋体" w:cs="宋体"/>
          <w:sz w:val="23"/>
          <w:szCs w:val="23"/>
          <w:highlight w:val="none"/>
          <w:lang w:eastAsia="zh-CN"/>
        </w:rPr>
        <w:t>郑重</w:t>
      </w:r>
      <w:r>
        <w:rPr>
          <w:rFonts w:hint="eastAsia" w:ascii="宋体" w:hAnsi="宋体" w:eastAsia="宋体" w:cs="宋体"/>
          <w:sz w:val="23"/>
          <w:szCs w:val="23"/>
          <w:highlight w:val="none"/>
        </w:rPr>
        <w:t>承诺：</w:t>
      </w:r>
    </w:p>
    <w:p w14:paraId="47F32815">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1.企业具备履行合同能力；未处于被责令停业、投标资格被取消或者财产被接管、冻结和破产状态；无因投标申请人违约或不恰当履约引起的合同争议纠纷及仲裁和诉讼记录。如果我方经本项目评标委员会评定为中标候选人后，被他人举报并经核实，确认存在上述不良记录，你方即可取消我方中标资格，并同意投标保证金不予退还，并接受处罚。</w:t>
      </w:r>
    </w:p>
    <w:p w14:paraId="0F3ABD22">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2.本单位递交的投标文件中的所有资料都是真实可信的，没有弄虚作假。证件及有关附件是真实的，复印件与原件是一致的。</w:t>
      </w:r>
    </w:p>
    <w:p w14:paraId="7D8AF8C4">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3.我单位不组织、不参与串标围标，绝无借资质、挂靠、提供虚假材料等违法违规行为。</w:t>
      </w:r>
    </w:p>
    <w:p w14:paraId="3F8AD889">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4.我单位保证遵守国家廉政相关规定，无失信、行贿等不良行为。</w:t>
      </w:r>
    </w:p>
    <w:p w14:paraId="3BE2D709">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5.我单位承诺项目负责人为本单位在职人员，绝不以挂靠、兼职等方式参与本次投标。如果中标，项目负责人将全程在现场指挥工作。</w:t>
      </w:r>
    </w:p>
    <w:p w14:paraId="2A31AD41">
      <w:pPr>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6.如不能达到上述标准要求，你单位可随时取消我单位中标资格，并同意履约保证金不予退还。</w:t>
      </w:r>
    </w:p>
    <w:p w14:paraId="37979D9E">
      <w:pPr>
        <w:snapToGrid w:val="0"/>
        <w:spacing w:line="360" w:lineRule="auto"/>
        <w:ind w:firstLine="462" w:firstLineChars="200"/>
        <w:rPr>
          <w:rFonts w:hint="eastAsia" w:ascii="宋体" w:hAnsi="宋体" w:eastAsia="宋体" w:cs="宋体"/>
          <w:b/>
          <w:sz w:val="23"/>
          <w:szCs w:val="23"/>
          <w:highlight w:val="none"/>
        </w:rPr>
      </w:pPr>
    </w:p>
    <w:p w14:paraId="1E7B2E48">
      <w:pPr>
        <w:snapToGrid w:val="0"/>
        <w:spacing w:line="360" w:lineRule="auto"/>
        <w:ind w:firstLine="460" w:firstLineChars="200"/>
        <w:rPr>
          <w:rFonts w:hint="eastAsia" w:ascii="宋体" w:hAnsi="宋体" w:eastAsia="宋体" w:cs="宋体"/>
          <w:sz w:val="23"/>
          <w:szCs w:val="23"/>
          <w:highlight w:val="none"/>
        </w:rPr>
      </w:pPr>
      <w:r>
        <w:rPr>
          <w:rFonts w:hint="eastAsia" w:ascii="宋体" w:hAnsi="宋体" w:eastAsia="宋体" w:cs="宋体"/>
          <w:sz w:val="23"/>
          <w:szCs w:val="23"/>
          <w:highlight w:val="none"/>
        </w:rPr>
        <w:t>投标人（盖章）：</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 xml:space="preserve"> </w:t>
      </w:r>
    </w:p>
    <w:p w14:paraId="2C7901F5">
      <w:pPr>
        <w:tabs>
          <w:tab w:val="left" w:pos="4320"/>
        </w:tabs>
        <w:snapToGrid w:val="0"/>
        <w:spacing w:line="360" w:lineRule="auto"/>
        <w:ind w:firstLine="460" w:firstLineChars="200"/>
        <w:rPr>
          <w:rFonts w:hint="eastAsia" w:ascii="宋体" w:hAnsi="宋体" w:eastAsia="宋体" w:cs="宋体"/>
          <w:sz w:val="23"/>
          <w:szCs w:val="23"/>
          <w:highlight w:val="none"/>
        </w:rPr>
      </w:pPr>
      <w:r>
        <w:rPr>
          <w:rFonts w:hint="eastAsia" w:ascii="宋体" w:hAnsi="宋体" w:eastAsia="宋体" w:cs="宋体"/>
          <w:sz w:val="23"/>
          <w:szCs w:val="23"/>
          <w:highlight w:val="none"/>
        </w:rPr>
        <w:t>法定代表人（签字或盖章）：</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 xml:space="preserve"> </w:t>
      </w:r>
    </w:p>
    <w:p w14:paraId="7E1F6590">
      <w:pPr>
        <w:snapToGrid w:val="0"/>
        <w:spacing w:line="360" w:lineRule="auto"/>
        <w:ind w:firstLine="460" w:firstLineChars="200"/>
        <w:rPr>
          <w:rFonts w:hint="eastAsia" w:ascii="宋体" w:hAnsi="宋体" w:eastAsia="宋体" w:cs="宋体"/>
          <w:b/>
          <w:sz w:val="23"/>
          <w:szCs w:val="23"/>
          <w:highlight w:val="none"/>
        </w:rPr>
      </w:pPr>
      <w:r>
        <w:rPr>
          <w:rFonts w:hint="eastAsia" w:ascii="宋体" w:hAnsi="宋体" w:eastAsia="宋体" w:cs="宋体"/>
          <w:sz w:val="23"/>
          <w:szCs w:val="23"/>
          <w:highlight w:val="none"/>
        </w:rPr>
        <w:t xml:space="preserve">                                                  </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年</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月</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日</w:t>
      </w:r>
    </w:p>
    <w:p w14:paraId="5D0C58FD">
      <w:pPr>
        <w:spacing w:line="360" w:lineRule="auto"/>
        <w:ind w:firstLine="3578" w:firstLineChars="1491"/>
        <w:jc w:val="left"/>
        <w:rPr>
          <w:rFonts w:hint="eastAsia" w:ascii="宋体" w:hAnsi="宋体" w:eastAsia="宋体" w:cs="宋体"/>
          <w:sz w:val="24"/>
          <w:highlight w:val="none"/>
        </w:rPr>
      </w:pPr>
    </w:p>
    <w:p w14:paraId="0ADCC9C7">
      <w:pPr>
        <w:snapToGrid w:val="0"/>
        <w:spacing w:line="360" w:lineRule="auto"/>
        <w:rPr>
          <w:rFonts w:hint="eastAsia" w:ascii="宋体" w:hAnsi="宋体" w:eastAsia="宋体" w:cs="宋体"/>
          <w:b/>
          <w:bCs/>
          <w:sz w:val="28"/>
          <w:szCs w:val="28"/>
          <w:highlight w:val="none"/>
          <w:lang w:eastAsia="zh-CN"/>
        </w:rPr>
      </w:pPr>
      <w:r>
        <w:rPr>
          <w:rFonts w:hint="eastAsia" w:ascii="宋体" w:hAnsi="宋体" w:eastAsia="宋体" w:cs="宋体"/>
          <w:sz w:val="24"/>
          <w:highlight w:val="none"/>
        </w:rPr>
        <w:br w:type="page"/>
      </w:r>
      <w:r>
        <w:rPr>
          <w:rFonts w:hint="eastAsia" w:hAnsi="宋体" w:cs="宋体"/>
          <w:b/>
          <w:bCs/>
          <w:sz w:val="28"/>
          <w:szCs w:val="28"/>
          <w:highlight w:val="none"/>
        </w:rPr>
        <w:t>二、技术</w:t>
      </w:r>
      <w:r>
        <w:rPr>
          <w:rFonts w:hint="eastAsia" w:ascii="宋体" w:hAnsi="宋体" w:eastAsia="宋体" w:cs="宋体"/>
          <w:b/>
          <w:bCs/>
          <w:sz w:val="28"/>
          <w:szCs w:val="28"/>
          <w:highlight w:val="none"/>
          <w:lang w:eastAsia="zh-CN"/>
        </w:rPr>
        <w:t>标</w:t>
      </w:r>
    </w:p>
    <w:p w14:paraId="4A35DEFE">
      <w:pPr>
        <w:snapToGrid w:val="0"/>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、商务标</w:t>
      </w:r>
    </w:p>
    <w:p w14:paraId="7E24D39B">
      <w:pPr>
        <w:pStyle w:val="357"/>
        <w:spacing w:line="360" w:lineRule="auto"/>
        <w:jc w:val="center"/>
        <w:rPr>
          <w:rFonts w:hint="eastAsia" w:ascii="宋体" w:hAnsi="宋体" w:eastAsia="宋体" w:cs="宋体"/>
          <w:b/>
          <w:bCs/>
          <w:sz w:val="30"/>
          <w:highlight w:val="none"/>
        </w:rPr>
      </w:pPr>
      <w:r>
        <w:rPr>
          <w:rFonts w:hint="eastAsia" w:ascii="宋体" w:hAnsi="宋体" w:eastAsia="宋体" w:cs="宋体"/>
          <w:b/>
          <w:bCs/>
          <w:sz w:val="30"/>
          <w:highlight w:val="none"/>
        </w:rPr>
        <w:t>投标函</w:t>
      </w:r>
    </w:p>
    <w:p w14:paraId="70916E10">
      <w:pPr>
        <w:pStyle w:val="21"/>
        <w:spacing w:line="360" w:lineRule="auto"/>
        <w:ind w:firstLine="602"/>
        <w:jc w:val="center"/>
        <w:rPr>
          <w:rFonts w:hint="eastAsia" w:ascii="宋体" w:hAnsi="宋体" w:eastAsia="宋体" w:cs="宋体"/>
          <w:b/>
          <w:bCs/>
          <w:sz w:val="30"/>
          <w:szCs w:val="20"/>
          <w:highlight w:val="none"/>
        </w:rPr>
      </w:pPr>
    </w:p>
    <w:p w14:paraId="09B3A333">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南通中宏环境发展有限公司：</w:t>
      </w:r>
    </w:p>
    <w:p w14:paraId="764D20B8">
      <w:pPr>
        <w:wordWrap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项目的招标文件的全部内容，愿意就</w:t>
      </w:r>
      <w:r>
        <w:rPr>
          <w:rFonts w:hint="eastAsia" w:ascii="宋体" w:hAnsi="宋体" w:eastAsia="宋体" w:cs="宋体"/>
          <w:sz w:val="24"/>
          <w:highlight w:val="none"/>
          <w:lang w:eastAsia="zh-CN"/>
        </w:rPr>
        <w:t>体育中心物业劳务分包</w:t>
      </w:r>
      <w:r>
        <w:rPr>
          <w:rFonts w:hint="eastAsia" w:ascii="宋体" w:hAnsi="宋体" w:eastAsia="宋体" w:cs="宋体"/>
          <w:sz w:val="24"/>
          <w:highlight w:val="none"/>
        </w:rPr>
        <w:t xml:space="preserve">以总价（含税价）：人民币大写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元（小写￥</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元）的投标报价，按招标文件的规定履行合同责任和义务，完成本项目的所有工作内容。</w:t>
      </w:r>
    </w:p>
    <w:p w14:paraId="32690E8F">
      <w:pPr>
        <w:tabs>
          <w:tab w:val="left" w:pos="6300"/>
        </w:tabs>
        <w:wordWrap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2.我方承诺在招标文件规定的投标有效期内不修改、撤销投标文件。</w:t>
      </w:r>
    </w:p>
    <w:p w14:paraId="3D9291C1">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.如我方中标：</w:t>
      </w:r>
    </w:p>
    <w:p w14:paraId="405A7B24">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（1）我方承诺在收到中标通知书后，在中标通知书规定的期限内与你方签订合同。</w:t>
      </w:r>
    </w:p>
    <w:p w14:paraId="71FA6299">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（2）我方承诺按照招标文件规定向你方递交履约保证金。</w:t>
      </w:r>
    </w:p>
    <w:p w14:paraId="7B330990">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（3）我方将严格履行本投标文件中的全部承诺和责任，并遵守招标文件中对投标单位的所有规定。</w:t>
      </w:r>
    </w:p>
    <w:p w14:paraId="14BAA247">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.我方在此声明，所递交的投标文件及有关资料内容完整、真实和准确。</w:t>
      </w:r>
    </w:p>
    <w:p w14:paraId="2B7B22FE">
      <w:pPr>
        <w:tabs>
          <w:tab w:val="left" w:pos="5665"/>
          <w:tab w:val="right" w:pos="8360"/>
        </w:tabs>
        <w:spacing w:line="360" w:lineRule="auto"/>
        <w:ind w:right="42"/>
        <w:rPr>
          <w:rFonts w:hint="eastAsia" w:ascii="宋体" w:hAnsi="宋体" w:eastAsia="宋体" w:cs="宋体"/>
          <w:sz w:val="24"/>
          <w:highlight w:val="none"/>
        </w:rPr>
      </w:pPr>
    </w:p>
    <w:p w14:paraId="2D099377">
      <w:pPr>
        <w:tabs>
          <w:tab w:val="left" w:pos="5665"/>
          <w:tab w:val="right" w:pos="8360"/>
        </w:tabs>
        <w:spacing w:line="360" w:lineRule="auto"/>
        <w:ind w:right="42" w:firstLine="1560" w:firstLineChars="650"/>
        <w:rPr>
          <w:rFonts w:hint="eastAsia" w:ascii="宋体" w:hAnsi="宋体" w:eastAsia="宋体" w:cs="宋体"/>
          <w:sz w:val="24"/>
          <w:highlight w:val="none"/>
          <w:u w:val="single"/>
        </w:rPr>
      </w:pPr>
      <w:r>
        <w:rPr>
          <w:rFonts w:hint="eastAsia" w:ascii="宋体" w:hAnsi="宋体" w:eastAsia="宋体" w:cs="宋体"/>
          <w:sz w:val="24"/>
          <w:highlight w:val="none"/>
        </w:rPr>
        <w:t>投标单位（公章）：</w:t>
      </w:r>
      <w:r>
        <w:rPr>
          <w:rFonts w:hint="eastAsia" w:ascii="宋体" w:hAnsi="宋体" w:eastAsia="宋体" w:cs="宋体"/>
          <w:sz w:val="24"/>
          <w:highlight w:val="none"/>
          <w:u w:val="single"/>
        </w:rPr>
        <w:t xml:space="preserve">                              </w:t>
      </w:r>
    </w:p>
    <w:p w14:paraId="4C38D849">
      <w:pPr>
        <w:tabs>
          <w:tab w:val="left" w:pos="5665"/>
          <w:tab w:val="right" w:pos="8360"/>
        </w:tabs>
        <w:spacing w:line="360" w:lineRule="auto"/>
        <w:ind w:right="42" w:firstLine="1560" w:firstLineChars="650"/>
        <w:rPr>
          <w:rFonts w:hint="eastAsia" w:ascii="宋体" w:hAnsi="宋体" w:eastAsia="宋体" w:cs="宋体"/>
          <w:sz w:val="24"/>
          <w:highlight w:val="none"/>
          <w:u w:val="single"/>
        </w:rPr>
      </w:pPr>
      <w:r>
        <w:rPr>
          <w:rFonts w:hint="eastAsia" w:ascii="宋体" w:hAnsi="宋体" w:eastAsia="宋体" w:cs="宋体"/>
          <w:sz w:val="24"/>
          <w:highlight w:val="none"/>
        </w:rPr>
        <w:t>法定代表人或被授权人（签字或盖章）：</w:t>
      </w:r>
      <w:r>
        <w:rPr>
          <w:rFonts w:hint="eastAsia" w:ascii="宋体" w:hAnsi="宋体" w:eastAsia="宋体" w:cs="宋体"/>
          <w:sz w:val="24"/>
          <w:highlight w:val="none"/>
          <w:u w:val="single"/>
        </w:rPr>
        <w:t xml:space="preserve">            </w:t>
      </w:r>
    </w:p>
    <w:p w14:paraId="2B3C0652">
      <w:pPr>
        <w:tabs>
          <w:tab w:val="left" w:pos="5665"/>
          <w:tab w:val="right" w:pos="8360"/>
        </w:tabs>
        <w:spacing w:line="360" w:lineRule="auto"/>
        <w:ind w:right="42" w:firstLine="1560" w:firstLineChars="650"/>
        <w:jc w:val="left"/>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bookmarkEnd w:id="58"/>
    <w:p w14:paraId="10D4BEBF">
      <w:pPr>
        <w:snapToGrid w:val="0"/>
        <w:spacing w:line="360" w:lineRule="auto"/>
        <w:ind w:firstLine="4216" w:firstLineChars="1500"/>
        <w:rPr>
          <w:rFonts w:hint="eastAsia" w:ascii="宋体" w:hAnsi="宋体" w:eastAsia="宋体" w:cs="宋体"/>
          <w:b/>
          <w:sz w:val="28"/>
          <w:szCs w:val="28"/>
          <w:highlight w:val="none"/>
        </w:rPr>
      </w:pPr>
    </w:p>
    <w:p w14:paraId="00595ABB">
      <w:pPr>
        <w:snapToGrid w:val="0"/>
        <w:spacing w:line="360" w:lineRule="auto"/>
        <w:ind w:firstLine="496" w:firstLineChars="206"/>
        <w:rPr>
          <w:rFonts w:hint="eastAsia" w:ascii="宋体" w:hAnsi="宋体" w:eastAsia="宋体" w:cs="宋体"/>
          <w:b/>
          <w:sz w:val="24"/>
          <w:highlight w:val="none"/>
        </w:rPr>
      </w:pPr>
    </w:p>
    <w:sectPr>
      <w:pgSz w:w="11906" w:h="16838"/>
      <w:pgMar w:top="1247" w:right="1247" w:bottom="1247" w:left="1247" w:header="851" w:footer="346"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utura Lt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Futura Bk BT">
    <w:altName w:val="Yu Gothic UI"/>
    <w:panose1 w:val="020B0502020204020303"/>
    <w:charset w:val="00"/>
    <w:family w:val="swiss"/>
    <w:pitch w:val="default"/>
    <w:sig w:usb0="00000000" w:usb1="00000000" w:usb2="00000000" w:usb3="00000000" w:csb0="00000011"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Normal">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C72A">
    <w:pPr>
      <w:pStyle w:val="55"/>
      <w:tabs>
        <w:tab w:val="center" w:pos="481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BCB0D">
                          <w:pPr>
                            <w:pStyle w:val="55"/>
                          </w:pPr>
                        </w:p>
                      </w:txbxContent>
                    </wps:txbx>
                    <wps:bodyPr wrap="none" lIns="0" tIns="0" rIns="0" bIns="0" upright="1">
                      <a:spAutoFit/>
                    </wps:bodyPr>
                  </wps:wsp>
                </a:graphicData>
              </a:graphic>
            </wp:anchor>
          </w:drawing>
        </mc:Choice>
        <mc:Fallback>
          <w:pict>
            <v:shape id="文本框 308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PTMzzAEAAJwDAAAOAAAAAAAAAAEAIAAAAB4BAABkcnMvZTJv&#10;RG9jLnhtbFBLBQYAAAAABgAGAFkBAABcBQAAAAA=&#10;">
              <v:fill on="f" focussize="0,0"/>
              <v:stroke on="f"/>
              <v:imagedata o:title=""/>
              <o:lock v:ext="edit" aspectratio="f"/>
              <v:textbox inset="0mm,0mm,0mm,0mm" style="mso-fit-shape-to-text:t;">
                <w:txbxContent>
                  <w:p w14:paraId="4A3BCB0D">
                    <w:pPr>
                      <w:pStyle w:val="5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9FD6">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FDFB">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29F2">
    <w:pPr>
      <w:pStyle w:val="55"/>
      <w:tabs>
        <w:tab w:val="left" w:pos="4752"/>
        <w:tab w:val="clear" w:pos="4153"/>
        <w:tab w:val="clear" w:pos="8306"/>
      </w:tabs>
      <w:ind w:right="9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74FEE">
                          <w:pPr>
                            <w:pStyle w:val="55"/>
                            <w:jc w:val="right"/>
                          </w:pPr>
                          <w:r>
                            <w:fldChar w:fldCharType="begin"/>
                          </w:r>
                          <w:r>
                            <w:instrText xml:space="preserve">PAGE   \* MERGEFORMAT</w:instrText>
                          </w:r>
                          <w:r>
                            <w:fldChar w:fldCharType="separate"/>
                          </w:r>
                          <w:r>
                            <w:rPr>
                              <w:lang w:val="zh-CN"/>
                            </w:rPr>
                            <w:t>16</w:t>
                          </w:r>
                          <w:r>
                            <w:fldChar w:fldCharType="end"/>
                          </w:r>
                        </w:p>
                      </w:txbxContent>
                    </wps:txbx>
                    <wps:bodyPr wrap="none" lIns="0" tIns="0" rIns="0" bIns="0" upright="0">
                      <a:spAutoFit/>
                    </wps:bodyPr>
                  </wps:wsp>
                </a:graphicData>
              </a:graphic>
            </wp:anchor>
          </w:drawing>
        </mc:Choice>
        <mc:Fallback>
          <w:pict>
            <v:shape id="文本框 308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VTsm0zAEAAJwDAAAOAAAAAAAAAAEAIAAAAB4BAABkcnMvZTJv&#10;RG9jLnhtbFBLBQYAAAAABgAGAFkBAABcBQAAAAA=&#10;">
              <v:fill on="f" focussize="0,0"/>
              <v:stroke on="f"/>
              <v:imagedata o:title=""/>
              <o:lock v:ext="edit" aspectratio="f"/>
              <v:textbox inset="0mm,0mm,0mm,0mm" style="mso-fit-shape-to-text:t;">
                <w:txbxContent>
                  <w:p w14:paraId="17874FEE">
                    <w:pPr>
                      <w:pStyle w:val="55"/>
                      <w:jc w:val="right"/>
                    </w:pPr>
                    <w:r>
                      <w:fldChar w:fldCharType="begin"/>
                    </w:r>
                    <w:r>
                      <w:instrText xml:space="preserve">PAGE   \* MERGEFORMAT</w:instrText>
                    </w:r>
                    <w:r>
                      <w:fldChar w:fldCharType="separate"/>
                    </w:r>
                    <w:r>
                      <w:rPr>
                        <w:lang w:val="zh-CN"/>
                      </w:rPr>
                      <w:t>16</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74CA">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1EE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8449">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85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BB53D"/>
    <w:multiLevelType w:val="singleLevel"/>
    <w:tmpl w:val="C7CBB53D"/>
    <w:lvl w:ilvl="0" w:tentative="0">
      <w:start w:val="1"/>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2">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3">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5">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6">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7">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00000001"/>
    <w:multiLevelType w:val="multilevel"/>
    <w:tmpl w:val="00000001"/>
    <w:lvl w:ilvl="0" w:tentative="0">
      <w:start w:val="1"/>
      <w:numFmt w:val="decimal"/>
      <w:pStyle w:val="206"/>
      <w:lvlText w:val="%1."/>
      <w:lvlJc w:val="left"/>
      <w:pPr>
        <w:tabs>
          <w:tab w:val="left" w:pos="720"/>
        </w:tabs>
        <w:ind w:left="0" w:firstLine="0"/>
      </w:pPr>
      <w:rPr>
        <w:rFonts w:cs="Times New Roman"/>
        <w:b w:val="0"/>
        <w:i w:val="0"/>
        <w:caps w:val="0"/>
        <w:strike w:val="0"/>
        <w:dstrike w:val="0"/>
        <w:spacing w:val="0"/>
        <w:u w:val="none"/>
      </w:rPr>
    </w:lvl>
    <w:lvl w:ilvl="1" w:tentative="0">
      <w:start w:val="1"/>
      <w:numFmt w:val="lowerLetter"/>
      <w:pStyle w:val="205"/>
      <w:lvlText w:val="(%2)"/>
      <w:lvlJc w:val="left"/>
      <w:pPr>
        <w:tabs>
          <w:tab w:val="left" w:pos="1440"/>
        </w:tabs>
        <w:ind w:left="0" w:firstLine="720"/>
      </w:pPr>
      <w:rPr>
        <w:rFonts w:cs="Times New Roman"/>
        <w:b w:val="0"/>
        <w:i w:val="0"/>
        <w:caps w:val="0"/>
        <w:strike w:val="0"/>
        <w:dstrike w:val="0"/>
        <w:spacing w:val="0"/>
        <w:u w:val="none"/>
      </w:rPr>
    </w:lvl>
    <w:lvl w:ilvl="2" w:tentative="0">
      <w:start w:val="1"/>
      <w:numFmt w:val="lowerRoman"/>
      <w:pStyle w:val="204"/>
      <w:lvlText w:val="(%3)"/>
      <w:lvlJc w:val="left"/>
      <w:pPr>
        <w:tabs>
          <w:tab w:val="left" w:pos="2160"/>
        </w:tabs>
        <w:ind w:left="0" w:firstLine="1440"/>
      </w:pPr>
      <w:rPr>
        <w:rFonts w:cs="Times New Roman"/>
        <w:b w:val="0"/>
        <w:i w:val="0"/>
        <w:caps w:val="0"/>
        <w:strike w:val="0"/>
        <w:dstrike w:val="0"/>
        <w:spacing w:val="0"/>
        <w:u w:val="none"/>
      </w:rPr>
    </w:lvl>
    <w:lvl w:ilvl="3" w:tentative="0">
      <w:start w:val="1"/>
      <w:numFmt w:val="decimal"/>
      <w:pStyle w:val="203"/>
      <w:lvlText w:val="(%4)"/>
      <w:lvlJc w:val="left"/>
      <w:pPr>
        <w:tabs>
          <w:tab w:val="left" w:pos="2880"/>
        </w:tabs>
        <w:ind w:left="0" w:firstLine="2160"/>
      </w:pPr>
      <w:rPr>
        <w:rFonts w:cs="Times New Roman"/>
        <w:b w:val="0"/>
        <w:i w:val="0"/>
        <w:caps w:val="0"/>
        <w:strike w:val="0"/>
        <w:dstrike w:val="0"/>
        <w:spacing w:val="0"/>
        <w:u w:val="none"/>
      </w:rPr>
    </w:lvl>
    <w:lvl w:ilvl="4" w:tentative="0">
      <w:start w:val="1"/>
      <w:numFmt w:val="lowerLetter"/>
      <w:pStyle w:val="202"/>
      <w:lvlText w:val="%5."/>
      <w:lvlJc w:val="left"/>
      <w:pPr>
        <w:tabs>
          <w:tab w:val="left" w:pos="3600"/>
        </w:tabs>
        <w:ind w:left="0" w:firstLine="2880"/>
      </w:pPr>
      <w:rPr>
        <w:rFonts w:cs="Times New Roman"/>
        <w:b w:val="0"/>
        <w:i w:val="0"/>
        <w:caps w:val="0"/>
        <w:strike w:val="0"/>
        <w:dstrike w:val="0"/>
        <w:spacing w:val="0"/>
        <w:u w:val="none"/>
      </w:rPr>
    </w:lvl>
    <w:lvl w:ilvl="5" w:tentative="0">
      <w:start w:val="1"/>
      <w:numFmt w:val="lowerRoman"/>
      <w:pStyle w:val="201"/>
      <w:lvlText w:val="%6."/>
      <w:lvlJc w:val="left"/>
      <w:pPr>
        <w:tabs>
          <w:tab w:val="left" w:pos="4320"/>
        </w:tabs>
        <w:ind w:left="0" w:firstLine="3600"/>
      </w:pPr>
      <w:rPr>
        <w:rFonts w:cs="Times New Roman"/>
        <w:b w:val="0"/>
        <w:i w:val="0"/>
        <w:caps w:val="0"/>
        <w:strike w:val="0"/>
        <w:dstrike w:val="0"/>
        <w:spacing w:val="0"/>
        <w:u w:val="none"/>
      </w:rPr>
    </w:lvl>
    <w:lvl w:ilvl="6" w:tentative="0">
      <w:start w:val="1"/>
      <w:numFmt w:val="decimal"/>
      <w:pStyle w:val="200"/>
      <w:lvlText w:val="%7)"/>
      <w:lvlJc w:val="left"/>
      <w:pPr>
        <w:tabs>
          <w:tab w:val="left" w:pos="5040"/>
        </w:tabs>
        <w:ind w:left="0" w:firstLine="4320"/>
      </w:pPr>
      <w:rPr>
        <w:rFonts w:cs="Times New Roman"/>
        <w:b w:val="0"/>
        <w:i w:val="0"/>
        <w:caps w:val="0"/>
        <w:strike w:val="0"/>
        <w:dstrike w:val="0"/>
        <w:spacing w:val="0"/>
        <w:u w:val="none"/>
      </w:rPr>
    </w:lvl>
    <w:lvl w:ilvl="7" w:tentative="0">
      <w:start w:val="1"/>
      <w:numFmt w:val="lowerLetter"/>
      <w:pStyle w:val="289"/>
      <w:lvlText w:val="%8)"/>
      <w:lvlJc w:val="left"/>
      <w:pPr>
        <w:tabs>
          <w:tab w:val="left" w:pos="5760"/>
        </w:tabs>
        <w:ind w:left="0" w:firstLine="5040"/>
      </w:pPr>
      <w:rPr>
        <w:rFonts w:cs="Times New Roman"/>
        <w:b w:val="0"/>
        <w:i w:val="0"/>
        <w:caps w:val="0"/>
        <w:strike w:val="0"/>
        <w:dstrike w:val="0"/>
        <w:spacing w:val="0"/>
        <w:u w:val="none"/>
      </w:rPr>
    </w:lvl>
    <w:lvl w:ilvl="8" w:tentative="0">
      <w:start w:val="1"/>
      <w:numFmt w:val="lowerRoman"/>
      <w:pStyle w:val="288"/>
      <w:lvlText w:val="%9)"/>
      <w:lvlJc w:val="left"/>
      <w:pPr>
        <w:tabs>
          <w:tab w:val="left" w:pos="6480"/>
        </w:tabs>
        <w:ind w:left="0" w:firstLine="5760"/>
      </w:pPr>
      <w:rPr>
        <w:rFonts w:cs="Times New Roman"/>
        <w:b w:val="0"/>
        <w:i w:val="0"/>
        <w:caps w:val="0"/>
        <w:strike w:val="0"/>
        <w:dstrike w:val="0"/>
        <w:spacing w:val="0"/>
        <w:u w:val="none"/>
      </w:rPr>
    </w:lvl>
  </w:abstractNum>
  <w:abstractNum w:abstractNumId="11">
    <w:nsid w:val="00000009"/>
    <w:multiLevelType w:val="singleLevel"/>
    <w:tmpl w:val="00000009"/>
    <w:lvl w:ilvl="0" w:tentative="0">
      <w:start w:val="3"/>
      <w:numFmt w:val="chineseCounting"/>
      <w:pStyle w:val="24"/>
      <w:suff w:val="space"/>
      <w:lvlText w:val="第%1章"/>
      <w:lvlJc w:val="left"/>
    </w:lvl>
  </w:abstractNum>
  <w:abstractNum w:abstractNumId="12">
    <w:nsid w:val="04F9687B"/>
    <w:multiLevelType w:val="multilevel"/>
    <w:tmpl w:val="04F9687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pStyle w:val="24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0E5220DE"/>
    <w:multiLevelType w:val="multilevel"/>
    <w:tmpl w:val="0E5220DE"/>
    <w:lvl w:ilvl="0" w:tentative="0">
      <w:start w:val="1"/>
      <w:numFmt w:val="bullet"/>
      <w:pStyle w:val="340"/>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720"/>
        </w:tabs>
        <w:ind w:left="720" w:hanging="360"/>
      </w:pPr>
      <w:rPr>
        <w:rFonts w:hint="default" w:ascii="Courier New" w:hAnsi="Courier New" w:cs="Wingdings"/>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Wingdings"/>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Wingdings"/>
      </w:rPr>
    </w:lvl>
    <w:lvl w:ilvl="8" w:tentative="0">
      <w:start w:val="1"/>
      <w:numFmt w:val="bullet"/>
      <w:lvlText w:val=""/>
      <w:lvlJc w:val="left"/>
      <w:pPr>
        <w:tabs>
          <w:tab w:val="left" w:pos="5760"/>
        </w:tabs>
        <w:ind w:left="5760" w:hanging="360"/>
      </w:pPr>
      <w:rPr>
        <w:rFonts w:hint="default" w:ascii="Wingdings" w:hAnsi="Wingdings"/>
      </w:rPr>
    </w:lvl>
  </w:abstractNum>
  <w:abstractNum w:abstractNumId="14">
    <w:nsid w:val="1BE72BBE"/>
    <w:multiLevelType w:val="multilevel"/>
    <w:tmpl w:val="1BE72BBE"/>
    <w:lvl w:ilvl="0" w:tentative="0">
      <w:start w:val="0"/>
      <w:numFmt w:val="bullet"/>
      <w:pStyle w:val="228"/>
      <w:lvlText w:val="•"/>
      <w:lvlJc w:val="left"/>
      <w:pPr>
        <w:tabs>
          <w:tab w:val="left" w:pos="360"/>
        </w:tabs>
        <w:ind w:left="288" w:hanging="288"/>
      </w:pPr>
      <w:rPr>
        <w:rFonts w:hint="default" w:ascii="Arial" w:hAnsi="Arial" w:cs="Times New Roman"/>
        <w:position w:val="-4"/>
        <w:sz w:val="32"/>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1EF9634E"/>
    <w:multiLevelType w:val="multilevel"/>
    <w:tmpl w:val="1EF9634E"/>
    <w:lvl w:ilvl="0" w:tentative="0">
      <w:start w:val="1"/>
      <w:numFmt w:val="decimal"/>
      <w:pStyle w:val="279"/>
      <w:lvlText w:val="%1"/>
      <w:lvlJc w:val="left"/>
      <w:pPr>
        <w:tabs>
          <w:tab w:val="left" w:pos="850"/>
        </w:tabs>
        <w:ind w:left="850" w:hanging="850"/>
      </w:pPr>
      <w:rPr>
        <w:b/>
        <w:caps w:val="0"/>
        <w:strike w:val="0"/>
        <w:dstrike w:val="0"/>
        <w:vanish w:val="0"/>
        <w:color w:val="auto"/>
        <w:u w:val="none" w:color="000000"/>
        <w:vertAlign w:val="baseline"/>
      </w:rPr>
    </w:lvl>
    <w:lvl w:ilvl="1" w:tentative="0">
      <w:start w:val="1"/>
      <w:numFmt w:val="decimal"/>
      <w:pStyle w:val="328"/>
      <w:lvlText w:val="%1.%2"/>
      <w:lvlJc w:val="left"/>
      <w:pPr>
        <w:tabs>
          <w:tab w:val="left" w:pos="850"/>
        </w:tabs>
        <w:ind w:left="850" w:hanging="850"/>
      </w:pPr>
      <w:rPr>
        <w:rFonts w:hint="default" w:ascii="Times New Roman" w:hAnsi="Times New Roman" w:cs="Times New Roman"/>
        <w:b w:val="0"/>
        <w:bCs w:val="0"/>
        <w:i w:val="0"/>
        <w:caps w:val="0"/>
        <w:smallCaps w:val="0"/>
        <w:strike w:val="0"/>
        <w:dstrike w:val="0"/>
        <w:vanish w:val="0"/>
        <w:color w:val="auto"/>
        <w:sz w:val="22"/>
        <w:szCs w:val="22"/>
        <w:u w:val="none" w:color="000000"/>
        <w:vertAlign w:val="baseline"/>
      </w:rPr>
    </w:lvl>
    <w:lvl w:ilvl="2" w:tentative="0">
      <w:start w:val="1"/>
      <w:numFmt w:val="lowerLetter"/>
      <w:pStyle w:val="226"/>
      <w:lvlText w:val="(%3)"/>
      <w:lvlJc w:val="left"/>
      <w:pPr>
        <w:tabs>
          <w:tab w:val="left" w:pos="1701"/>
        </w:tabs>
        <w:ind w:left="1701" w:hanging="851"/>
      </w:pPr>
      <w:rPr>
        <w:rFonts w:hint="default" w:ascii="Times New Roman" w:hAnsi="Times New Roman" w:cs="Times New Roman"/>
        <w:b w:val="0"/>
        <w:i w:val="0"/>
        <w:caps w:val="0"/>
        <w:smallCaps w:val="0"/>
        <w:strike w:val="0"/>
        <w:dstrike w:val="0"/>
        <w:vanish w:val="0"/>
        <w:color w:val="auto"/>
        <w:sz w:val="22"/>
        <w:szCs w:val="22"/>
        <w:u w:val="none" w:color="000000"/>
        <w:vertAlign w:val="baseline"/>
        <w:lang w:eastAsia="zh-CN"/>
      </w:rPr>
    </w:lvl>
    <w:lvl w:ilvl="3" w:tentative="0">
      <w:start w:val="1"/>
      <w:numFmt w:val="lowerRoman"/>
      <w:pStyle w:val="231"/>
      <w:lvlText w:val="(%4)"/>
      <w:lvlJc w:val="left"/>
      <w:pPr>
        <w:tabs>
          <w:tab w:val="left" w:pos="2551"/>
        </w:tabs>
        <w:ind w:left="2551" w:hanging="850"/>
      </w:pPr>
      <w:rPr>
        <w:b w:val="0"/>
        <w:i w:val="0"/>
        <w:caps w:val="0"/>
        <w:smallCaps w:val="0"/>
        <w:strike w:val="0"/>
        <w:dstrike w:val="0"/>
        <w:vanish w:val="0"/>
        <w:color w:val="auto"/>
        <w:u w:val="none" w:color="000000"/>
        <w:vertAlign w:val="baseline"/>
      </w:rPr>
    </w:lvl>
    <w:lvl w:ilvl="4" w:tentative="0">
      <w:start w:val="1"/>
      <w:numFmt w:val="upperLetter"/>
      <w:pStyle w:val="270"/>
      <w:lvlText w:val="(%5)"/>
      <w:lvlJc w:val="left"/>
      <w:pPr>
        <w:tabs>
          <w:tab w:val="left" w:pos="3402"/>
        </w:tabs>
        <w:ind w:left="3402" w:hanging="851"/>
      </w:pPr>
      <w:rPr>
        <w:b w:val="0"/>
        <w:i w:val="0"/>
        <w:caps w:val="0"/>
        <w:smallCaps w:val="0"/>
        <w:strike w:val="0"/>
        <w:dstrike w:val="0"/>
        <w:vanish w:val="0"/>
        <w:color w:val="auto"/>
        <w:u w:val="none" w:color="000000"/>
        <w:vertAlign w:val="baseline"/>
      </w:rPr>
    </w:lvl>
    <w:lvl w:ilvl="5" w:tentative="0">
      <w:start w:val="1"/>
      <w:numFmt w:val="upperRoman"/>
      <w:pStyle w:val="304"/>
      <w:lvlText w:val="(%6)"/>
      <w:lvlJc w:val="left"/>
      <w:pPr>
        <w:tabs>
          <w:tab w:val="left" w:pos="4252"/>
        </w:tabs>
        <w:ind w:left="4252" w:hanging="850"/>
      </w:pPr>
      <w:rPr>
        <w:b w:val="0"/>
        <w:i w:val="0"/>
        <w:caps w:val="0"/>
        <w:smallCaps w:val="0"/>
        <w:strike w:val="0"/>
        <w:dstrike w:val="0"/>
        <w:vanish w:val="0"/>
        <w:color w:val="auto"/>
        <w:u w:val="none" w:color="000000"/>
        <w:vertAlign w:val="baseline"/>
      </w:rPr>
    </w:lvl>
    <w:lvl w:ilvl="6" w:tentative="0">
      <w:start w:val="1"/>
      <w:numFmt w:val="none"/>
      <w:lvlText w:val=""/>
      <w:lvlJc w:val="left"/>
      <w:pPr>
        <w:tabs>
          <w:tab w:val="left" w:pos="5102"/>
        </w:tabs>
        <w:ind w:left="5102" w:hanging="850"/>
      </w:pPr>
      <w:rPr>
        <w:b w:val="0"/>
        <w:i w:val="0"/>
        <w:caps w:val="0"/>
        <w:smallCaps w:val="0"/>
        <w:strike w:val="0"/>
        <w:dstrike w:val="0"/>
        <w:vanish w:val="0"/>
        <w:color w:val="auto"/>
        <w:u w:val="none" w:color="000000"/>
        <w:vertAlign w:val="baseline"/>
      </w:rPr>
    </w:lvl>
    <w:lvl w:ilvl="7" w:tentative="0">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lvl w:ilvl="8" w:tentative="0">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abstractNum>
  <w:abstractNum w:abstractNumId="16">
    <w:nsid w:val="4CB63780"/>
    <w:multiLevelType w:val="multilevel"/>
    <w:tmpl w:val="4CB63780"/>
    <w:lvl w:ilvl="0" w:tentative="0">
      <w:start w:val="1"/>
      <w:numFmt w:val="decimal"/>
      <w:pStyle w:val="261"/>
      <w:lvlText w:val="%1."/>
      <w:lvlJc w:val="left"/>
      <w:pPr>
        <w:tabs>
          <w:tab w:val="left" w:pos="360"/>
        </w:tabs>
        <w:ind w:left="36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7">
    <w:nsid w:val="4FE7044F"/>
    <w:multiLevelType w:val="singleLevel"/>
    <w:tmpl w:val="4FE7044F"/>
    <w:lvl w:ilvl="0" w:tentative="0">
      <w:start w:val="1"/>
      <w:numFmt w:val="bullet"/>
      <w:pStyle w:val="221"/>
      <w:lvlText w:val=""/>
      <w:lvlJc w:val="left"/>
      <w:pPr>
        <w:tabs>
          <w:tab w:val="left" w:pos="648"/>
        </w:tabs>
        <w:ind w:left="648" w:hanging="360"/>
      </w:pPr>
      <w:rPr>
        <w:rFonts w:hint="default" w:ascii="Symbol" w:hAnsi="Symbol"/>
        <w:sz w:val="16"/>
      </w:rPr>
    </w:lvl>
  </w:abstractNum>
  <w:abstractNum w:abstractNumId="18">
    <w:nsid w:val="52960F89"/>
    <w:multiLevelType w:val="multilevel"/>
    <w:tmpl w:val="52960F89"/>
    <w:lvl w:ilvl="0" w:tentative="0">
      <w:start w:val="1"/>
      <w:numFmt w:val="bullet"/>
      <w:pStyle w:val="342"/>
      <w:lvlText w:val=""/>
      <w:lvlJc w:val="left"/>
      <w:pPr>
        <w:tabs>
          <w:tab w:val="left" w:pos="720"/>
        </w:tabs>
        <w:ind w:left="720" w:hanging="360"/>
      </w:pPr>
      <w:rPr>
        <w:rFonts w:hint="default" w:ascii="Wingdings" w:hAnsi="Wingdings"/>
        <w:color w:val="FF66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1EA71A5"/>
    <w:multiLevelType w:val="multilevel"/>
    <w:tmpl w:val="71EA71A5"/>
    <w:lvl w:ilvl="0" w:tentative="0">
      <w:start w:val="1"/>
      <w:numFmt w:val="bullet"/>
      <w:pStyle w:val="269"/>
      <w:lvlText w:val=""/>
      <w:lvlJc w:val="left"/>
      <w:pPr>
        <w:tabs>
          <w:tab w:val="left" w:pos="2160"/>
        </w:tabs>
        <w:ind w:left="216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Times New Roman"/>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Times New Roman"/>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Times New Roman"/>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4"/>
  </w:num>
  <w:num w:numId="2">
    <w:abstractNumId w:val="6"/>
  </w:num>
  <w:num w:numId="3">
    <w:abstractNumId w:val="9"/>
  </w:num>
  <w:num w:numId="4">
    <w:abstractNumId w:val="11"/>
  </w:num>
  <w:num w:numId="5">
    <w:abstractNumId w:val="7"/>
  </w:num>
  <w:num w:numId="6">
    <w:abstractNumId w:val="3"/>
  </w:num>
  <w:num w:numId="7">
    <w:abstractNumId w:val="8"/>
  </w:num>
  <w:num w:numId="8">
    <w:abstractNumId w:val="5"/>
  </w:num>
  <w:num w:numId="9">
    <w:abstractNumId w:val="2"/>
  </w:num>
  <w:num w:numId="10">
    <w:abstractNumId w:val="1"/>
  </w:num>
  <w:num w:numId="11">
    <w:abstractNumId w:val="10"/>
  </w:num>
  <w:num w:numId="12">
    <w:abstractNumId w:val="17"/>
  </w:num>
  <w:num w:numId="13">
    <w:abstractNumId w:val="15"/>
  </w:num>
  <w:num w:numId="14">
    <w:abstractNumId w:val="14"/>
  </w:num>
  <w:num w:numId="15">
    <w:abstractNumId w:val="12"/>
  </w:num>
  <w:num w:numId="16">
    <w:abstractNumId w:val="16"/>
  </w:num>
  <w:num w:numId="17">
    <w:abstractNumId w:val="19"/>
  </w:num>
  <w:num w:numId="18">
    <w:abstractNumId w:val="1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DA2OTdjYWFjNTcwYTdlYWUxMDdiMTJmNzgzZDEifQ=="/>
  </w:docVars>
  <w:rsids>
    <w:rsidRoot w:val="001C51EB"/>
    <w:rsid w:val="00000318"/>
    <w:rsid w:val="00001AB3"/>
    <w:rsid w:val="000036B9"/>
    <w:rsid w:val="00004247"/>
    <w:rsid w:val="000067F5"/>
    <w:rsid w:val="00012F48"/>
    <w:rsid w:val="00013104"/>
    <w:rsid w:val="00014DA9"/>
    <w:rsid w:val="00015B5C"/>
    <w:rsid w:val="00021556"/>
    <w:rsid w:val="00024D6E"/>
    <w:rsid w:val="00026988"/>
    <w:rsid w:val="00032F98"/>
    <w:rsid w:val="0003584B"/>
    <w:rsid w:val="00036842"/>
    <w:rsid w:val="000400A9"/>
    <w:rsid w:val="000413ED"/>
    <w:rsid w:val="000429E2"/>
    <w:rsid w:val="00043680"/>
    <w:rsid w:val="0004619E"/>
    <w:rsid w:val="00046FC2"/>
    <w:rsid w:val="00050277"/>
    <w:rsid w:val="00050E7E"/>
    <w:rsid w:val="000520C6"/>
    <w:rsid w:val="000525DB"/>
    <w:rsid w:val="00053438"/>
    <w:rsid w:val="0005675E"/>
    <w:rsid w:val="0005739A"/>
    <w:rsid w:val="000602C1"/>
    <w:rsid w:val="00061E15"/>
    <w:rsid w:val="00066790"/>
    <w:rsid w:val="00066C39"/>
    <w:rsid w:val="00067ED2"/>
    <w:rsid w:val="000724A4"/>
    <w:rsid w:val="0007253C"/>
    <w:rsid w:val="00072EDE"/>
    <w:rsid w:val="0007636C"/>
    <w:rsid w:val="00077EDC"/>
    <w:rsid w:val="000809DC"/>
    <w:rsid w:val="00080AA9"/>
    <w:rsid w:val="00080AFE"/>
    <w:rsid w:val="00080C7B"/>
    <w:rsid w:val="00084F73"/>
    <w:rsid w:val="000852ED"/>
    <w:rsid w:val="00086E74"/>
    <w:rsid w:val="0009121D"/>
    <w:rsid w:val="00092B36"/>
    <w:rsid w:val="00094B14"/>
    <w:rsid w:val="00094D2A"/>
    <w:rsid w:val="00097003"/>
    <w:rsid w:val="000A085E"/>
    <w:rsid w:val="000A08DE"/>
    <w:rsid w:val="000A291F"/>
    <w:rsid w:val="000A2E01"/>
    <w:rsid w:val="000A3948"/>
    <w:rsid w:val="000A46D4"/>
    <w:rsid w:val="000A4F7A"/>
    <w:rsid w:val="000A516E"/>
    <w:rsid w:val="000A67C6"/>
    <w:rsid w:val="000A7892"/>
    <w:rsid w:val="000A7A9B"/>
    <w:rsid w:val="000B6F7A"/>
    <w:rsid w:val="000C443A"/>
    <w:rsid w:val="000C622B"/>
    <w:rsid w:val="000D09A8"/>
    <w:rsid w:val="000D0B63"/>
    <w:rsid w:val="000D0EFB"/>
    <w:rsid w:val="000D1A91"/>
    <w:rsid w:val="000D2CCB"/>
    <w:rsid w:val="000D4175"/>
    <w:rsid w:val="000D4B34"/>
    <w:rsid w:val="000D6586"/>
    <w:rsid w:val="000D7E76"/>
    <w:rsid w:val="000E1FE5"/>
    <w:rsid w:val="000E6A0F"/>
    <w:rsid w:val="000F4121"/>
    <w:rsid w:val="000F5986"/>
    <w:rsid w:val="00102617"/>
    <w:rsid w:val="00102A5E"/>
    <w:rsid w:val="00103A94"/>
    <w:rsid w:val="0010475C"/>
    <w:rsid w:val="00105F07"/>
    <w:rsid w:val="00106D2E"/>
    <w:rsid w:val="00107A55"/>
    <w:rsid w:val="00110106"/>
    <w:rsid w:val="001109C2"/>
    <w:rsid w:val="00112C0D"/>
    <w:rsid w:val="00114FBF"/>
    <w:rsid w:val="00115B6D"/>
    <w:rsid w:val="00116DFE"/>
    <w:rsid w:val="001172B9"/>
    <w:rsid w:val="001201ED"/>
    <w:rsid w:val="001239F5"/>
    <w:rsid w:val="001242AF"/>
    <w:rsid w:val="001254C1"/>
    <w:rsid w:val="00125FA5"/>
    <w:rsid w:val="001273FB"/>
    <w:rsid w:val="001274B1"/>
    <w:rsid w:val="001310B3"/>
    <w:rsid w:val="00131B5D"/>
    <w:rsid w:val="00135313"/>
    <w:rsid w:val="00140913"/>
    <w:rsid w:val="00141D76"/>
    <w:rsid w:val="00142E41"/>
    <w:rsid w:val="00143224"/>
    <w:rsid w:val="001437E7"/>
    <w:rsid w:val="00145032"/>
    <w:rsid w:val="00146E5A"/>
    <w:rsid w:val="0015073D"/>
    <w:rsid w:val="00150772"/>
    <w:rsid w:val="0015520E"/>
    <w:rsid w:val="00155324"/>
    <w:rsid w:val="001574A9"/>
    <w:rsid w:val="00157F72"/>
    <w:rsid w:val="00161EC7"/>
    <w:rsid w:val="001625B5"/>
    <w:rsid w:val="00162F5C"/>
    <w:rsid w:val="00163908"/>
    <w:rsid w:val="00164413"/>
    <w:rsid w:val="00166F98"/>
    <w:rsid w:val="001672CB"/>
    <w:rsid w:val="001701AF"/>
    <w:rsid w:val="00173769"/>
    <w:rsid w:val="001818F4"/>
    <w:rsid w:val="00187CA6"/>
    <w:rsid w:val="00191A75"/>
    <w:rsid w:val="001930DD"/>
    <w:rsid w:val="00193157"/>
    <w:rsid w:val="00193AA9"/>
    <w:rsid w:val="00195B47"/>
    <w:rsid w:val="00196BBF"/>
    <w:rsid w:val="001A28D6"/>
    <w:rsid w:val="001A3982"/>
    <w:rsid w:val="001A3A31"/>
    <w:rsid w:val="001A5B22"/>
    <w:rsid w:val="001A7375"/>
    <w:rsid w:val="001A7CF1"/>
    <w:rsid w:val="001B1224"/>
    <w:rsid w:val="001B413C"/>
    <w:rsid w:val="001B516D"/>
    <w:rsid w:val="001C0A6C"/>
    <w:rsid w:val="001C1245"/>
    <w:rsid w:val="001C322D"/>
    <w:rsid w:val="001C51EB"/>
    <w:rsid w:val="001C5659"/>
    <w:rsid w:val="001C5E3B"/>
    <w:rsid w:val="001C6D55"/>
    <w:rsid w:val="001D491E"/>
    <w:rsid w:val="001D7EB5"/>
    <w:rsid w:val="001E1776"/>
    <w:rsid w:val="001E1CF0"/>
    <w:rsid w:val="001E447D"/>
    <w:rsid w:val="001E6D9C"/>
    <w:rsid w:val="001F0611"/>
    <w:rsid w:val="001F2D25"/>
    <w:rsid w:val="001F42B4"/>
    <w:rsid w:val="001F75D8"/>
    <w:rsid w:val="001F7D7B"/>
    <w:rsid w:val="0020108D"/>
    <w:rsid w:val="00202173"/>
    <w:rsid w:val="002052A0"/>
    <w:rsid w:val="00205A7B"/>
    <w:rsid w:val="00207C10"/>
    <w:rsid w:val="00211498"/>
    <w:rsid w:val="00211B6C"/>
    <w:rsid w:val="0021201A"/>
    <w:rsid w:val="002122A1"/>
    <w:rsid w:val="00214341"/>
    <w:rsid w:val="00216F02"/>
    <w:rsid w:val="00216F34"/>
    <w:rsid w:val="00221156"/>
    <w:rsid w:val="0022128C"/>
    <w:rsid w:val="00225B32"/>
    <w:rsid w:val="00225CBB"/>
    <w:rsid w:val="0022630B"/>
    <w:rsid w:val="0023117B"/>
    <w:rsid w:val="002402DB"/>
    <w:rsid w:val="0024151B"/>
    <w:rsid w:val="002439A1"/>
    <w:rsid w:val="002463A5"/>
    <w:rsid w:val="00250654"/>
    <w:rsid w:val="00252985"/>
    <w:rsid w:val="002551BE"/>
    <w:rsid w:val="00257836"/>
    <w:rsid w:val="00257FA1"/>
    <w:rsid w:val="00262661"/>
    <w:rsid w:val="002630E3"/>
    <w:rsid w:val="002634CE"/>
    <w:rsid w:val="002634D9"/>
    <w:rsid w:val="00263909"/>
    <w:rsid w:val="002654BF"/>
    <w:rsid w:val="00265E5D"/>
    <w:rsid w:val="0026614F"/>
    <w:rsid w:val="002733F0"/>
    <w:rsid w:val="00274138"/>
    <w:rsid w:val="00275181"/>
    <w:rsid w:val="002801F0"/>
    <w:rsid w:val="002820CB"/>
    <w:rsid w:val="00282D4A"/>
    <w:rsid w:val="00282E92"/>
    <w:rsid w:val="00285E80"/>
    <w:rsid w:val="002932A7"/>
    <w:rsid w:val="00295155"/>
    <w:rsid w:val="00296558"/>
    <w:rsid w:val="002966EB"/>
    <w:rsid w:val="002977CD"/>
    <w:rsid w:val="002A00A5"/>
    <w:rsid w:val="002A4C76"/>
    <w:rsid w:val="002A555D"/>
    <w:rsid w:val="002A5ABD"/>
    <w:rsid w:val="002A63CA"/>
    <w:rsid w:val="002B2CEF"/>
    <w:rsid w:val="002B61CA"/>
    <w:rsid w:val="002B6B0D"/>
    <w:rsid w:val="002B6BD4"/>
    <w:rsid w:val="002C2F92"/>
    <w:rsid w:val="002C52E0"/>
    <w:rsid w:val="002D34C5"/>
    <w:rsid w:val="002D4368"/>
    <w:rsid w:val="002D486D"/>
    <w:rsid w:val="002D76CC"/>
    <w:rsid w:val="002D77DF"/>
    <w:rsid w:val="002D77E8"/>
    <w:rsid w:val="002E1F7B"/>
    <w:rsid w:val="002E3AF2"/>
    <w:rsid w:val="002E50BE"/>
    <w:rsid w:val="002E6177"/>
    <w:rsid w:val="002E61B9"/>
    <w:rsid w:val="002E6C36"/>
    <w:rsid w:val="002E70A4"/>
    <w:rsid w:val="002F1DC7"/>
    <w:rsid w:val="002F5AD5"/>
    <w:rsid w:val="0030023A"/>
    <w:rsid w:val="00300B38"/>
    <w:rsid w:val="003016B5"/>
    <w:rsid w:val="00303470"/>
    <w:rsid w:val="00310717"/>
    <w:rsid w:val="00310D73"/>
    <w:rsid w:val="00315F9F"/>
    <w:rsid w:val="00316A8F"/>
    <w:rsid w:val="00317B9B"/>
    <w:rsid w:val="0032287F"/>
    <w:rsid w:val="003244C2"/>
    <w:rsid w:val="00325D3B"/>
    <w:rsid w:val="003265A4"/>
    <w:rsid w:val="00326900"/>
    <w:rsid w:val="00326F73"/>
    <w:rsid w:val="0033379B"/>
    <w:rsid w:val="003353F7"/>
    <w:rsid w:val="003354C9"/>
    <w:rsid w:val="003356F3"/>
    <w:rsid w:val="00340705"/>
    <w:rsid w:val="00341EE8"/>
    <w:rsid w:val="00343F89"/>
    <w:rsid w:val="003502D6"/>
    <w:rsid w:val="00351561"/>
    <w:rsid w:val="00352A5E"/>
    <w:rsid w:val="00355C10"/>
    <w:rsid w:val="00357638"/>
    <w:rsid w:val="00360AF9"/>
    <w:rsid w:val="00362888"/>
    <w:rsid w:val="00363B17"/>
    <w:rsid w:val="0036569F"/>
    <w:rsid w:val="003656E7"/>
    <w:rsid w:val="003659D4"/>
    <w:rsid w:val="00365BE2"/>
    <w:rsid w:val="00372D8B"/>
    <w:rsid w:val="003734FB"/>
    <w:rsid w:val="00374349"/>
    <w:rsid w:val="00376C17"/>
    <w:rsid w:val="0038025F"/>
    <w:rsid w:val="00381C06"/>
    <w:rsid w:val="00381D7F"/>
    <w:rsid w:val="00382838"/>
    <w:rsid w:val="00382F91"/>
    <w:rsid w:val="00383249"/>
    <w:rsid w:val="003833AE"/>
    <w:rsid w:val="00383720"/>
    <w:rsid w:val="00383E38"/>
    <w:rsid w:val="00383E87"/>
    <w:rsid w:val="00391FF4"/>
    <w:rsid w:val="00392C5F"/>
    <w:rsid w:val="0039364F"/>
    <w:rsid w:val="00394145"/>
    <w:rsid w:val="00394893"/>
    <w:rsid w:val="00394B15"/>
    <w:rsid w:val="00396E13"/>
    <w:rsid w:val="00397EED"/>
    <w:rsid w:val="003A08B2"/>
    <w:rsid w:val="003A135C"/>
    <w:rsid w:val="003A2962"/>
    <w:rsid w:val="003A532B"/>
    <w:rsid w:val="003A5D2D"/>
    <w:rsid w:val="003B113B"/>
    <w:rsid w:val="003B1380"/>
    <w:rsid w:val="003B1EC4"/>
    <w:rsid w:val="003B3790"/>
    <w:rsid w:val="003B3C67"/>
    <w:rsid w:val="003B544B"/>
    <w:rsid w:val="003C1B4C"/>
    <w:rsid w:val="003C4406"/>
    <w:rsid w:val="003D4796"/>
    <w:rsid w:val="003E1672"/>
    <w:rsid w:val="003E18EF"/>
    <w:rsid w:val="003E2A1A"/>
    <w:rsid w:val="003E4762"/>
    <w:rsid w:val="003E5312"/>
    <w:rsid w:val="003F32DA"/>
    <w:rsid w:val="003F3C95"/>
    <w:rsid w:val="003F6FB8"/>
    <w:rsid w:val="004013F8"/>
    <w:rsid w:val="004032BD"/>
    <w:rsid w:val="00405A07"/>
    <w:rsid w:val="00405F6B"/>
    <w:rsid w:val="0041081C"/>
    <w:rsid w:val="00414E3E"/>
    <w:rsid w:val="00416A42"/>
    <w:rsid w:val="00422792"/>
    <w:rsid w:val="00423230"/>
    <w:rsid w:val="00430CC8"/>
    <w:rsid w:val="00433907"/>
    <w:rsid w:val="00437F3A"/>
    <w:rsid w:val="00442AEC"/>
    <w:rsid w:val="00443A52"/>
    <w:rsid w:val="00443A66"/>
    <w:rsid w:val="00444DB4"/>
    <w:rsid w:val="004459C6"/>
    <w:rsid w:val="004472BD"/>
    <w:rsid w:val="0045048A"/>
    <w:rsid w:val="004525C3"/>
    <w:rsid w:val="00452B58"/>
    <w:rsid w:val="00455DFD"/>
    <w:rsid w:val="00456202"/>
    <w:rsid w:val="00456C91"/>
    <w:rsid w:val="00456D23"/>
    <w:rsid w:val="00457FB7"/>
    <w:rsid w:val="0046134D"/>
    <w:rsid w:val="004627B7"/>
    <w:rsid w:val="004638A5"/>
    <w:rsid w:val="00463DA7"/>
    <w:rsid w:val="00466863"/>
    <w:rsid w:val="004700C1"/>
    <w:rsid w:val="00472765"/>
    <w:rsid w:val="0047298D"/>
    <w:rsid w:val="00472F58"/>
    <w:rsid w:val="00475F89"/>
    <w:rsid w:val="0047683D"/>
    <w:rsid w:val="00477DE6"/>
    <w:rsid w:val="00480CA2"/>
    <w:rsid w:val="004862C7"/>
    <w:rsid w:val="00490151"/>
    <w:rsid w:val="004912AF"/>
    <w:rsid w:val="004A178E"/>
    <w:rsid w:val="004A1A50"/>
    <w:rsid w:val="004A6DDB"/>
    <w:rsid w:val="004A7248"/>
    <w:rsid w:val="004B01C8"/>
    <w:rsid w:val="004B0CDF"/>
    <w:rsid w:val="004B2B70"/>
    <w:rsid w:val="004B4D89"/>
    <w:rsid w:val="004C05A1"/>
    <w:rsid w:val="004C1156"/>
    <w:rsid w:val="004C26B5"/>
    <w:rsid w:val="004C5A9A"/>
    <w:rsid w:val="004C79C7"/>
    <w:rsid w:val="004C7FCD"/>
    <w:rsid w:val="004D2825"/>
    <w:rsid w:val="004D5B77"/>
    <w:rsid w:val="004D5E6A"/>
    <w:rsid w:val="004D653A"/>
    <w:rsid w:val="004E348D"/>
    <w:rsid w:val="004E3753"/>
    <w:rsid w:val="004E38CE"/>
    <w:rsid w:val="004E3BFB"/>
    <w:rsid w:val="004E480F"/>
    <w:rsid w:val="004E4E39"/>
    <w:rsid w:val="004E64A8"/>
    <w:rsid w:val="004E6AC8"/>
    <w:rsid w:val="004E6F5C"/>
    <w:rsid w:val="004E7D8A"/>
    <w:rsid w:val="004F4655"/>
    <w:rsid w:val="004F5176"/>
    <w:rsid w:val="004F5EF3"/>
    <w:rsid w:val="004F6004"/>
    <w:rsid w:val="005001CA"/>
    <w:rsid w:val="005029D1"/>
    <w:rsid w:val="00502BF8"/>
    <w:rsid w:val="005036AB"/>
    <w:rsid w:val="00510031"/>
    <w:rsid w:val="0051034B"/>
    <w:rsid w:val="00511831"/>
    <w:rsid w:val="005122C6"/>
    <w:rsid w:val="005123D8"/>
    <w:rsid w:val="00513EBC"/>
    <w:rsid w:val="00516021"/>
    <w:rsid w:val="00522790"/>
    <w:rsid w:val="00523D2E"/>
    <w:rsid w:val="0052498D"/>
    <w:rsid w:val="00524A67"/>
    <w:rsid w:val="00524DAF"/>
    <w:rsid w:val="00525428"/>
    <w:rsid w:val="005258E3"/>
    <w:rsid w:val="0052682E"/>
    <w:rsid w:val="00526FC8"/>
    <w:rsid w:val="00530149"/>
    <w:rsid w:val="0053065E"/>
    <w:rsid w:val="00530D9C"/>
    <w:rsid w:val="00532592"/>
    <w:rsid w:val="0053298C"/>
    <w:rsid w:val="005334DA"/>
    <w:rsid w:val="0053376D"/>
    <w:rsid w:val="00536640"/>
    <w:rsid w:val="005367A6"/>
    <w:rsid w:val="00536A02"/>
    <w:rsid w:val="00537B85"/>
    <w:rsid w:val="00540421"/>
    <w:rsid w:val="005418D3"/>
    <w:rsid w:val="00544AAE"/>
    <w:rsid w:val="00545F26"/>
    <w:rsid w:val="00551D78"/>
    <w:rsid w:val="005537DD"/>
    <w:rsid w:val="0055494C"/>
    <w:rsid w:val="00561FCC"/>
    <w:rsid w:val="00562129"/>
    <w:rsid w:val="00564211"/>
    <w:rsid w:val="0056441F"/>
    <w:rsid w:val="00566D87"/>
    <w:rsid w:val="00572179"/>
    <w:rsid w:val="00572519"/>
    <w:rsid w:val="00573373"/>
    <w:rsid w:val="00575ED3"/>
    <w:rsid w:val="005765B4"/>
    <w:rsid w:val="00577C68"/>
    <w:rsid w:val="0058447E"/>
    <w:rsid w:val="0058478D"/>
    <w:rsid w:val="00584F06"/>
    <w:rsid w:val="00590802"/>
    <w:rsid w:val="00591EE5"/>
    <w:rsid w:val="005923E5"/>
    <w:rsid w:val="005934F2"/>
    <w:rsid w:val="005939FF"/>
    <w:rsid w:val="005A17FF"/>
    <w:rsid w:val="005A60DD"/>
    <w:rsid w:val="005B17CD"/>
    <w:rsid w:val="005B287C"/>
    <w:rsid w:val="005B336F"/>
    <w:rsid w:val="005B3AAF"/>
    <w:rsid w:val="005B709C"/>
    <w:rsid w:val="005B79B2"/>
    <w:rsid w:val="005B7D97"/>
    <w:rsid w:val="005C31D9"/>
    <w:rsid w:val="005C353E"/>
    <w:rsid w:val="005C3B4F"/>
    <w:rsid w:val="005C5B10"/>
    <w:rsid w:val="005C5C0F"/>
    <w:rsid w:val="005C676C"/>
    <w:rsid w:val="005C7777"/>
    <w:rsid w:val="005D0833"/>
    <w:rsid w:val="005D1D0B"/>
    <w:rsid w:val="005D283F"/>
    <w:rsid w:val="005D32DB"/>
    <w:rsid w:val="005D3BFB"/>
    <w:rsid w:val="005D5451"/>
    <w:rsid w:val="005D5E0D"/>
    <w:rsid w:val="005D5FA2"/>
    <w:rsid w:val="005E29C7"/>
    <w:rsid w:val="005E30ED"/>
    <w:rsid w:val="005E7F42"/>
    <w:rsid w:val="005F42E2"/>
    <w:rsid w:val="005F6278"/>
    <w:rsid w:val="005F7C3C"/>
    <w:rsid w:val="006007A5"/>
    <w:rsid w:val="00600F5F"/>
    <w:rsid w:val="0060326C"/>
    <w:rsid w:val="006059FE"/>
    <w:rsid w:val="006063A1"/>
    <w:rsid w:val="00611C01"/>
    <w:rsid w:val="00616A61"/>
    <w:rsid w:val="006172DE"/>
    <w:rsid w:val="006176E4"/>
    <w:rsid w:val="0062047C"/>
    <w:rsid w:val="00621096"/>
    <w:rsid w:val="00621711"/>
    <w:rsid w:val="0062316B"/>
    <w:rsid w:val="00624B86"/>
    <w:rsid w:val="00624E70"/>
    <w:rsid w:val="00625EA5"/>
    <w:rsid w:val="00626538"/>
    <w:rsid w:val="00626559"/>
    <w:rsid w:val="00626E62"/>
    <w:rsid w:val="00630468"/>
    <w:rsid w:val="0063311D"/>
    <w:rsid w:val="00636D7A"/>
    <w:rsid w:val="006375AB"/>
    <w:rsid w:val="00642CFB"/>
    <w:rsid w:val="006451D6"/>
    <w:rsid w:val="0064799C"/>
    <w:rsid w:val="0065271D"/>
    <w:rsid w:val="006551A9"/>
    <w:rsid w:val="006602F1"/>
    <w:rsid w:val="00662DAB"/>
    <w:rsid w:val="00663F50"/>
    <w:rsid w:val="006643BF"/>
    <w:rsid w:val="00665046"/>
    <w:rsid w:val="00666037"/>
    <w:rsid w:val="0067356B"/>
    <w:rsid w:val="006741CC"/>
    <w:rsid w:val="00675C6E"/>
    <w:rsid w:val="00676175"/>
    <w:rsid w:val="00676425"/>
    <w:rsid w:val="006774CF"/>
    <w:rsid w:val="00680916"/>
    <w:rsid w:val="0068201A"/>
    <w:rsid w:val="00684B7F"/>
    <w:rsid w:val="00685AFA"/>
    <w:rsid w:val="00686DE5"/>
    <w:rsid w:val="006912D3"/>
    <w:rsid w:val="0069339D"/>
    <w:rsid w:val="00693F74"/>
    <w:rsid w:val="0069408B"/>
    <w:rsid w:val="00694871"/>
    <w:rsid w:val="00695334"/>
    <w:rsid w:val="00695DBF"/>
    <w:rsid w:val="00697A1F"/>
    <w:rsid w:val="006A00EB"/>
    <w:rsid w:val="006A057A"/>
    <w:rsid w:val="006A3724"/>
    <w:rsid w:val="006A5571"/>
    <w:rsid w:val="006A59DF"/>
    <w:rsid w:val="006B0D5B"/>
    <w:rsid w:val="006B1FA1"/>
    <w:rsid w:val="006B2F8F"/>
    <w:rsid w:val="006B7CC0"/>
    <w:rsid w:val="006B7EA1"/>
    <w:rsid w:val="006C3144"/>
    <w:rsid w:val="006C41E2"/>
    <w:rsid w:val="006C45D8"/>
    <w:rsid w:val="006C4AD2"/>
    <w:rsid w:val="006C6264"/>
    <w:rsid w:val="006C6D21"/>
    <w:rsid w:val="006C75B3"/>
    <w:rsid w:val="006D2316"/>
    <w:rsid w:val="006D5720"/>
    <w:rsid w:val="006D5B59"/>
    <w:rsid w:val="006D6383"/>
    <w:rsid w:val="006D6807"/>
    <w:rsid w:val="006D6B76"/>
    <w:rsid w:val="006D714C"/>
    <w:rsid w:val="006D79FA"/>
    <w:rsid w:val="006E1BC4"/>
    <w:rsid w:val="006E2673"/>
    <w:rsid w:val="006E301E"/>
    <w:rsid w:val="006E492A"/>
    <w:rsid w:val="006E4BCF"/>
    <w:rsid w:val="006E595A"/>
    <w:rsid w:val="006E6F61"/>
    <w:rsid w:val="006F26A4"/>
    <w:rsid w:val="00701A01"/>
    <w:rsid w:val="007027FC"/>
    <w:rsid w:val="00702B8C"/>
    <w:rsid w:val="00703FBE"/>
    <w:rsid w:val="007060E5"/>
    <w:rsid w:val="00706CD7"/>
    <w:rsid w:val="007072EE"/>
    <w:rsid w:val="0071301A"/>
    <w:rsid w:val="0071312E"/>
    <w:rsid w:val="007133BA"/>
    <w:rsid w:val="0071742A"/>
    <w:rsid w:val="00720507"/>
    <w:rsid w:val="007250D0"/>
    <w:rsid w:val="00725951"/>
    <w:rsid w:val="00726EA5"/>
    <w:rsid w:val="007311ED"/>
    <w:rsid w:val="0073319E"/>
    <w:rsid w:val="00733E2D"/>
    <w:rsid w:val="00734842"/>
    <w:rsid w:val="00735B40"/>
    <w:rsid w:val="00736074"/>
    <w:rsid w:val="007373D6"/>
    <w:rsid w:val="00737524"/>
    <w:rsid w:val="00740366"/>
    <w:rsid w:val="00740778"/>
    <w:rsid w:val="00741B66"/>
    <w:rsid w:val="0074207E"/>
    <w:rsid w:val="00742837"/>
    <w:rsid w:val="00742BE5"/>
    <w:rsid w:val="00743D58"/>
    <w:rsid w:val="007522ED"/>
    <w:rsid w:val="00752959"/>
    <w:rsid w:val="00757E56"/>
    <w:rsid w:val="00760797"/>
    <w:rsid w:val="0076171E"/>
    <w:rsid w:val="007674C9"/>
    <w:rsid w:val="00772F3E"/>
    <w:rsid w:val="00772F5A"/>
    <w:rsid w:val="007738A3"/>
    <w:rsid w:val="007742CD"/>
    <w:rsid w:val="00774E87"/>
    <w:rsid w:val="00775322"/>
    <w:rsid w:val="007767A6"/>
    <w:rsid w:val="0078054D"/>
    <w:rsid w:val="007876C3"/>
    <w:rsid w:val="00796EF6"/>
    <w:rsid w:val="007A3257"/>
    <w:rsid w:val="007B141A"/>
    <w:rsid w:val="007B1B4D"/>
    <w:rsid w:val="007B334A"/>
    <w:rsid w:val="007B549C"/>
    <w:rsid w:val="007C08C6"/>
    <w:rsid w:val="007C19DC"/>
    <w:rsid w:val="007C1A92"/>
    <w:rsid w:val="007C56A4"/>
    <w:rsid w:val="007C7971"/>
    <w:rsid w:val="007D20DA"/>
    <w:rsid w:val="007D343C"/>
    <w:rsid w:val="007D3450"/>
    <w:rsid w:val="007D4722"/>
    <w:rsid w:val="007D604D"/>
    <w:rsid w:val="007D6D9D"/>
    <w:rsid w:val="007D7F88"/>
    <w:rsid w:val="007E20A7"/>
    <w:rsid w:val="007E2EF5"/>
    <w:rsid w:val="007E3ED6"/>
    <w:rsid w:val="007E464D"/>
    <w:rsid w:val="007E4FCE"/>
    <w:rsid w:val="007E5487"/>
    <w:rsid w:val="007E5941"/>
    <w:rsid w:val="007E76DE"/>
    <w:rsid w:val="007F064B"/>
    <w:rsid w:val="007F0B4E"/>
    <w:rsid w:val="007F0EEB"/>
    <w:rsid w:val="007F1A56"/>
    <w:rsid w:val="007F4322"/>
    <w:rsid w:val="007F61B1"/>
    <w:rsid w:val="00801D96"/>
    <w:rsid w:val="00802046"/>
    <w:rsid w:val="008044BC"/>
    <w:rsid w:val="00804ECB"/>
    <w:rsid w:val="0081119E"/>
    <w:rsid w:val="0081321C"/>
    <w:rsid w:val="00817D04"/>
    <w:rsid w:val="00823511"/>
    <w:rsid w:val="00832DB0"/>
    <w:rsid w:val="008335E3"/>
    <w:rsid w:val="00835452"/>
    <w:rsid w:val="00835CE4"/>
    <w:rsid w:val="008361A0"/>
    <w:rsid w:val="00852700"/>
    <w:rsid w:val="008544AF"/>
    <w:rsid w:val="00856207"/>
    <w:rsid w:val="0085659A"/>
    <w:rsid w:val="00861621"/>
    <w:rsid w:val="0086385C"/>
    <w:rsid w:val="00865351"/>
    <w:rsid w:val="00866581"/>
    <w:rsid w:val="00872722"/>
    <w:rsid w:val="00875541"/>
    <w:rsid w:val="00875BF2"/>
    <w:rsid w:val="00875CE8"/>
    <w:rsid w:val="00877780"/>
    <w:rsid w:val="00883448"/>
    <w:rsid w:val="00883991"/>
    <w:rsid w:val="00884872"/>
    <w:rsid w:val="008909C7"/>
    <w:rsid w:val="00891A4A"/>
    <w:rsid w:val="008927F7"/>
    <w:rsid w:val="008932D7"/>
    <w:rsid w:val="008936CE"/>
    <w:rsid w:val="008944FE"/>
    <w:rsid w:val="008A072A"/>
    <w:rsid w:val="008A0AC8"/>
    <w:rsid w:val="008A2A97"/>
    <w:rsid w:val="008A4D37"/>
    <w:rsid w:val="008A52C3"/>
    <w:rsid w:val="008A53F1"/>
    <w:rsid w:val="008A57AA"/>
    <w:rsid w:val="008A687D"/>
    <w:rsid w:val="008A77FC"/>
    <w:rsid w:val="008B0CAF"/>
    <w:rsid w:val="008B1D51"/>
    <w:rsid w:val="008B22C3"/>
    <w:rsid w:val="008B5DD9"/>
    <w:rsid w:val="008B5FF8"/>
    <w:rsid w:val="008B66AE"/>
    <w:rsid w:val="008C0900"/>
    <w:rsid w:val="008C10E4"/>
    <w:rsid w:val="008C7C02"/>
    <w:rsid w:val="008D304A"/>
    <w:rsid w:val="008D4382"/>
    <w:rsid w:val="008D4892"/>
    <w:rsid w:val="008D71DA"/>
    <w:rsid w:val="008E0E49"/>
    <w:rsid w:val="008E0F85"/>
    <w:rsid w:val="008E20ED"/>
    <w:rsid w:val="008E3487"/>
    <w:rsid w:val="008E397B"/>
    <w:rsid w:val="008E3BFD"/>
    <w:rsid w:val="008E41A0"/>
    <w:rsid w:val="008E61E4"/>
    <w:rsid w:val="008F0590"/>
    <w:rsid w:val="008F6791"/>
    <w:rsid w:val="008F6C26"/>
    <w:rsid w:val="00901209"/>
    <w:rsid w:val="00901E16"/>
    <w:rsid w:val="00902025"/>
    <w:rsid w:val="0090342A"/>
    <w:rsid w:val="009038D6"/>
    <w:rsid w:val="00915420"/>
    <w:rsid w:val="009159BF"/>
    <w:rsid w:val="00921AFC"/>
    <w:rsid w:val="0092205D"/>
    <w:rsid w:val="00925007"/>
    <w:rsid w:val="00927038"/>
    <w:rsid w:val="00927285"/>
    <w:rsid w:val="0093003B"/>
    <w:rsid w:val="009309F9"/>
    <w:rsid w:val="0093100E"/>
    <w:rsid w:val="00931010"/>
    <w:rsid w:val="009314E8"/>
    <w:rsid w:val="00931BB6"/>
    <w:rsid w:val="00931DD1"/>
    <w:rsid w:val="00932B31"/>
    <w:rsid w:val="00934DAE"/>
    <w:rsid w:val="00934FDD"/>
    <w:rsid w:val="009404A6"/>
    <w:rsid w:val="0094335F"/>
    <w:rsid w:val="0094388E"/>
    <w:rsid w:val="009450E3"/>
    <w:rsid w:val="00947AA1"/>
    <w:rsid w:val="00951C09"/>
    <w:rsid w:val="0095468A"/>
    <w:rsid w:val="00955694"/>
    <w:rsid w:val="00955811"/>
    <w:rsid w:val="0095770C"/>
    <w:rsid w:val="009617ED"/>
    <w:rsid w:val="00967043"/>
    <w:rsid w:val="009679C6"/>
    <w:rsid w:val="00967D4C"/>
    <w:rsid w:val="0097089A"/>
    <w:rsid w:val="009719B9"/>
    <w:rsid w:val="009729B7"/>
    <w:rsid w:val="00972A35"/>
    <w:rsid w:val="00972CA1"/>
    <w:rsid w:val="009751FD"/>
    <w:rsid w:val="00976500"/>
    <w:rsid w:val="009771F7"/>
    <w:rsid w:val="00977F7D"/>
    <w:rsid w:val="00984E97"/>
    <w:rsid w:val="00984FDE"/>
    <w:rsid w:val="00992208"/>
    <w:rsid w:val="00992582"/>
    <w:rsid w:val="0099543C"/>
    <w:rsid w:val="00997DCF"/>
    <w:rsid w:val="009A01BD"/>
    <w:rsid w:val="009A1A0F"/>
    <w:rsid w:val="009A349E"/>
    <w:rsid w:val="009A3D0E"/>
    <w:rsid w:val="009A757B"/>
    <w:rsid w:val="009A7E7B"/>
    <w:rsid w:val="009B0CEC"/>
    <w:rsid w:val="009B1A95"/>
    <w:rsid w:val="009B434B"/>
    <w:rsid w:val="009B4F5A"/>
    <w:rsid w:val="009C30C7"/>
    <w:rsid w:val="009C4048"/>
    <w:rsid w:val="009C463A"/>
    <w:rsid w:val="009D1ED0"/>
    <w:rsid w:val="009D3BD0"/>
    <w:rsid w:val="009D3F46"/>
    <w:rsid w:val="009D6611"/>
    <w:rsid w:val="009D790E"/>
    <w:rsid w:val="009E1EF8"/>
    <w:rsid w:val="009E24AB"/>
    <w:rsid w:val="009E69FA"/>
    <w:rsid w:val="009E79C3"/>
    <w:rsid w:val="009E7E8F"/>
    <w:rsid w:val="009F0A8C"/>
    <w:rsid w:val="009F0DAB"/>
    <w:rsid w:val="009F0F3A"/>
    <w:rsid w:val="009F6EA8"/>
    <w:rsid w:val="009F7C77"/>
    <w:rsid w:val="00A042B3"/>
    <w:rsid w:val="00A0569E"/>
    <w:rsid w:val="00A077DA"/>
    <w:rsid w:val="00A100BA"/>
    <w:rsid w:val="00A12055"/>
    <w:rsid w:val="00A135E3"/>
    <w:rsid w:val="00A15E49"/>
    <w:rsid w:val="00A20058"/>
    <w:rsid w:val="00A218A2"/>
    <w:rsid w:val="00A23122"/>
    <w:rsid w:val="00A2325D"/>
    <w:rsid w:val="00A24234"/>
    <w:rsid w:val="00A257E7"/>
    <w:rsid w:val="00A26723"/>
    <w:rsid w:val="00A277AB"/>
    <w:rsid w:val="00A2787B"/>
    <w:rsid w:val="00A27B10"/>
    <w:rsid w:val="00A326E9"/>
    <w:rsid w:val="00A32DBF"/>
    <w:rsid w:val="00A35B59"/>
    <w:rsid w:val="00A35BD6"/>
    <w:rsid w:val="00A40E13"/>
    <w:rsid w:val="00A4181B"/>
    <w:rsid w:val="00A41E57"/>
    <w:rsid w:val="00A43342"/>
    <w:rsid w:val="00A5223F"/>
    <w:rsid w:val="00A52CD4"/>
    <w:rsid w:val="00A53A44"/>
    <w:rsid w:val="00A53C7D"/>
    <w:rsid w:val="00A54E0E"/>
    <w:rsid w:val="00A61674"/>
    <w:rsid w:val="00A6707D"/>
    <w:rsid w:val="00A70B06"/>
    <w:rsid w:val="00A74012"/>
    <w:rsid w:val="00A76151"/>
    <w:rsid w:val="00A86E4D"/>
    <w:rsid w:val="00A8776E"/>
    <w:rsid w:val="00A921CF"/>
    <w:rsid w:val="00A9220E"/>
    <w:rsid w:val="00A9475F"/>
    <w:rsid w:val="00A97564"/>
    <w:rsid w:val="00AA03C6"/>
    <w:rsid w:val="00AA0B07"/>
    <w:rsid w:val="00AA3059"/>
    <w:rsid w:val="00AA68BD"/>
    <w:rsid w:val="00AA6ECF"/>
    <w:rsid w:val="00AB44BE"/>
    <w:rsid w:val="00AB5F50"/>
    <w:rsid w:val="00AB7C2D"/>
    <w:rsid w:val="00AC0BB3"/>
    <w:rsid w:val="00AC0E1A"/>
    <w:rsid w:val="00AC23DD"/>
    <w:rsid w:val="00AC3274"/>
    <w:rsid w:val="00AC49BE"/>
    <w:rsid w:val="00AC7E0D"/>
    <w:rsid w:val="00AD06CD"/>
    <w:rsid w:val="00AD29B2"/>
    <w:rsid w:val="00AD4284"/>
    <w:rsid w:val="00AE1118"/>
    <w:rsid w:val="00AE12B1"/>
    <w:rsid w:val="00AE3ECD"/>
    <w:rsid w:val="00AE6F74"/>
    <w:rsid w:val="00AF0976"/>
    <w:rsid w:val="00AF19B5"/>
    <w:rsid w:val="00AF20E6"/>
    <w:rsid w:val="00AF21AC"/>
    <w:rsid w:val="00AF2884"/>
    <w:rsid w:val="00AF3BD2"/>
    <w:rsid w:val="00AF5C84"/>
    <w:rsid w:val="00AF7030"/>
    <w:rsid w:val="00AF775F"/>
    <w:rsid w:val="00B01A36"/>
    <w:rsid w:val="00B01C5F"/>
    <w:rsid w:val="00B03182"/>
    <w:rsid w:val="00B058AE"/>
    <w:rsid w:val="00B12B3E"/>
    <w:rsid w:val="00B139D4"/>
    <w:rsid w:val="00B2063A"/>
    <w:rsid w:val="00B23314"/>
    <w:rsid w:val="00B25BE9"/>
    <w:rsid w:val="00B25FC3"/>
    <w:rsid w:val="00B267A4"/>
    <w:rsid w:val="00B270B9"/>
    <w:rsid w:val="00B30F25"/>
    <w:rsid w:val="00B3159A"/>
    <w:rsid w:val="00B3165D"/>
    <w:rsid w:val="00B329AA"/>
    <w:rsid w:val="00B3331B"/>
    <w:rsid w:val="00B33994"/>
    <w:rsid w:val="00B3719A"/>
    <w:rsid w:val="00B43452"/>
    <w:rsid w:val="00B4391E"/>
    <w:rsid w:val="00B477AB"/>
    <w:rsid w:val="00B47CD8"/>
    <w:rsid w:val="00B47E02"/>
    <w:rsid w:val="00B5070C"/>
    <w:rsid w:val="00B51FE4"/>
    <w:rsid w:val="00B52EB5"/>
    <w:rsid w:val="00B53077"/>
    <w:rsid w:val="00B55DAD"/>
    <w:rsid w:val="00B567FE"/>
    <w:rsid w:val="00B601D6"/>
    <w:rsid w:val="00B609D4"/>
    <w:rsid w:val="00B61EC1"/>
    <w:rsid w:val="00B626A5"/>
    <w:rsid w:val="00B637DA"/>
    <w:rsid w:val="00B63C35"/>
    <w:rsid w:val="00B6678E"/>
    <w:rsid w:val="00B67DE2"/>
    <w:rsid w:val="00B70C9A"/>
    <w:rsid w:val="00B71A0D"/>
    <w:rsid w:val="00B72B14"/>
    <w:rsid w:val="00B72F20"/>
    <w:rsid w:val="00B7720B"/>
    <w:rsid w:val="00B77E93"/>
    <w:rsid w:val="00B810A6"/>
    <w:rsid w:val="00B81F00"/>
    <w:rsid w:val="00B838E0"/>
    <w:rsid w:val="00B84258"/>
    <w:rsid w:val="00B86A99"/>
    <w:rsid w:val="00B95401"/>
    <w:rsid w:val="00B967F3"/>
    <w:rsid w:val="00B96CF0"/>
    <w:rsid w:val="00B97A5A"/>
    <w:rsid w:val="00BA0435"/>
    <w:rsid w:val="00BA18BF"/>
    <w:rsid w:val="00BA2140"/>
    <w:rsid w:val="00BA2890"/>
    <w:rsid w:val="00BA592B"/>
    <w:rsid w:val="00BA70A3"/>
    <w:rsid w:val="00BA745F"/>
    <w:rsid w:val="00BA75CD"/>
    <w:rsid w:val="00BA7F61"/>
    <w:rsid w:val="00BB195D"/>
    <w:rsid w:val="00BB43F8"/>
    <w:rsid w:val="00BB7FBC"/>
    <w:rsid w:val="00BC0F99"/>
    <w:rsid w:val="00BC2304"/>
    <w:rsid w:val="00BC26AD"/>
    <w:rsid w:val="00BC54A9"/>
    <w:rsid w:val="00BC6205"/>
    <w:rsid w:val="00BD10F8"/>
    <w:rsid w:val="00BD129F"/>
    <w:rsid w:val="00BD7161"/>
    <w:rsid w:val="00BD782E"/>
    <w:rsid w:val="00BE07DA"/>
    <w:rsid w:val="00BE11BB"/>
    <w:rsid w:val="00BE157E"/>
    <w:rsid w:val="00BE18BD"/>
    <w:rsid w:val="00BE2A29"/>
    <w:rsid w:val="00BE5803"/>
    <w:rsid w:val="00BE6D7A"/>
    <w:rsid w:val="00BE7AE2"/>
    <w:rsid w:val="00BF2204"/>
    <w:rsid w:val="00BF23D4"/>
    <w:rsid w:val="00BF6E1C"/>
    <w:rsid w:val="00BF7E37"/>
    <w:rsid w:val="00C00BD5"/>
    <w:rsid w:val="00C022D8"/>
    <w:rsid w:val="00C0604D"/>
    <w:rsid w:val="00C06F73"/>
    <w:rsid w:val="00C11295"/>
    <w:rsid w:val="00C122DF"/>
    <w:rsid w:val="00C1471D"/>
    <w:rsid w:val="00C15B5A"/>
    <w:rsid w:val="00C17D40"/>
    <w:rsid w:val="00C21D09"/>
    <w:rsid w:val="00C22753"/>
    <w:rsid w:val="00C2416A"/>
    <w:rsid w:val="00C24E04"/>
    <w:rsid w:val="00C25302"/>
    <w:rsid w:val="00C26494"/>
    <w:rsid w:val="00C311A1"/>
    <w:rsid w:val="00C31D31"/>
    <w:rsid w:val="00C320DA"/>
    <w:rsid w:val="00C33738"/>
    <w:rsid w:val="00C36A6D"/>
    <w:rsid w:val="00C36D32"/>
    <w:rsid w:val="00C404AA"/>
    <w:rsid w:val="00C43978"/>
    <w:rsid w:val="00C4525D"/>
    <w:rsid w:val="00C47845"/>
    <w:rsid w:val="00C5022C"/>
    <w:rsid w:val="00C50418"/>
    <w:rsid w:val="00C5366E"/>
    <w:rsid w:val="00C538FA"/>
    <w:rsid w:val="00C55683"/>
    <w:rsid w:val="00C55FFD"/>
    <w:rsid w:val="00C569AD"/>
    <w:rsid w:val="00C61132"/>
    <w:rsid w:val="00C6321D"/>
    <w:rsid w:val="00C64A13"/>
    <w:rsid w:val="00C711FE"/>
    <w:rsid w:val="00C71477"/>
    <w:rsid w:val="00C72038"/>
    <w:rsid w:val="00C74CEB"/>
    <w:rsid w:val="00C7545F"/>
    <w:rsid w:val="00C75CFC"/>
    <w:rsid w:val="00C76017"/>
    <w:rsid w:val="00C77A2B"/>
    <w:rsid w:val="00C8088A"/>
    <w:rsid w:val="00C85CD6"/>
    <w:rsid w:val="00C8759D"/>
    <w:rsid w:val="00C87DFD"/>
    <w:rsid w:val="00C907F0"/>
    <w:rsid w:val="00C922AC"/>
    <w:rsid w:val="00C92D79"/>
    <w:rsid w:val="00C931D3"/>
    <w:rsid w:val="00C93CCB"/>
    <w:rsid w:val="00C93FDF"/>
    <w:rsid w:val="00C94FE7"/>
    <w:rsid w:val="00CA0725"/>
    <w:rsid w:val="00CA0A3C"/>
    <w:rsid w:val="00CA1DC5"/>
    <w:rsid w:val="00CA3036"/>
    <w:rsid w:val="00CA3C7C"/>
    <w:rsid w:val="00CA5B7C"/>
    <w:rsid w:val="00CB20D7"/>
    <w:rsid w:val="00CB4C97"/>
    <w:rsid w:val="00CC12A8"/>
    <w:rsid w:val="00CC39B8"/>
    <w:rsid w:val="00CC4819"/>
    <w:rsid w:val="00CC5B40"/>
    <w:rsid w:val="00CC76E7"/>
    <w:rsid w:val="00CD29E1"/>
    <w:rsid w:val="00CD49E5"/>
    <w:rsid w:val="00CE02EC"/>
    <w:rsid w:val="00CE0878"/>
    <w:rsid w:val="00CE1FDF"/>
    <w:rsid w:val="00CF0EF8"/>
    <w:rsid w:val="00CF4889"/>
    <w:rsid w:val="00CF5141"/>
    <w:rsid w:val="00CF55BF"/>
    <w:rsid w:val="00CF6640"/>
    <w:rsid w:val="00D005FF"/>
    <w:rsid w:val="00D01C9D"/>
    <w:rsid w:val="00D021CA"/>
    <w:rsid w:val="00D023EE"/>
    <w:rsid w:val="00D027BC"/>
    <w:rsid w:val="00D02E86"/>
    <w:rsid w:val="00D03954"/>
    <w:rsid w:val="00D042F3"/>
    <w:rsid w:val="00D1217C"/>
    <w:rsid w:val="00D146AF"/>
    <w:rsid w:val="00D146C9"/>
    <w:rsid w:val="00D16E69"/>
    <w:rsid w:val="00D20133"/>
    <w:rsid w:val="00D2275E"/>
    <w:rsid w:val="00D24AB0"/>
    <w:rsid w:val="00D25727"/>
    <w:rsid w:val="00D2577A"/>
    <w:rsid w:val="00D302F9"/>
    <w:rsid w:val="00D31D1E"/>
    <w:rsid w:val="00D3769A"/>
    <w:rsid w:val="00D408A7"/>
    <w:rsid w:val="00D43F8D"/>
    <w:rsid w:val="00D45316"/>
    <w:rsid w:val="00D50E9E"/>
    <w:rsid w:val="00D51C44"/>
    <w:rsid w:val="00D52B8C"/>
    <w:rsid w:val="00D53088"/>
    <w:rsid w:val="00D547E7"/>
    <w:rsid w:val="00D5702A"/>
    <w:rsid w:val="00D60574"/>
    <w:rsid w:val="00D6347B"/>
    <w:rsid w:val="00D64AEA"/>
    <w:rsid w:val="00D657C4"/>
    <w:rsid w:val="00D65CB0"/>
    <w:rsid w:val="00D74917"/>
    <w:rsid w:val="00D754A7"/>
    <w:rsid w:val="00D75523"/>
    <w:rsid w:val="00D75830"/>
    <w:rsid w:val="00D75DC5"/>
    <w:rsid w:val="00D80946"/>
    <w:rsid w:val="00D8161D"/>
    <w:rsid w:val="00D82E25"/>
    <w:rsid w:val="00D839F9"/>
    <w:rsid w:val="00D845CB"/>
    <w:rsid w:val="00D84862"/>
    <w:rsid w:val="00D848BA"/>
    <w:rsid w:val="00D90138"/>
    <w:rsid w:val="00D92196"/>
    <w:rsid w:val="00D92A96"/>
    <w:rsid w:val="00D92D63"/>
    <w:rsid w:val="00D93BFC"/>
    <w:rsid w:val="00D97E99"/>
    <w:rsid w:val="00DA063F"/>
    <w:rsid w:val="00DA2516"/>
    <w:rsid w:val="00DA4A8D"/>
    <w:rsid w:val="00DA6BB4"/>
    <w:rsid w:val="00DA7662"/>
    <w:rsid w:val="00DB281C"/>
    <w:rsid w:val="00DB463D"/>
    <w:rsid w:val="00DC18E3"/>
    <w:rsid w:val="00DC1F01"/>
    <w:rsid w:val="00DC6556"/>
    <w:rsid w:val="00DD0084"/>
    <w:rsid w:val="00DD0116"/>
    <w:rsid w:val="00DD2DD8"/>
    <w:rsid w:val="00DD4C6C"/>
    <w:rsid w:val="00DE2460"/>
    <w:rsid w:val="00DE39BC"/>
    <w:rsid w:val="00DE3C63"/>
    <w:rsid w:val="00DE4AC0"/>
    <w:rsid w:val="00DE57DB"/>
    <w:rsid w:val="00DE6644"/>
    <w:rsid w:val="00DE6A5E"/>
    <w:rsid w:val="00DE76FD"/>
    <w:rsid w:val="00DE7AA0"/>
    <w:rsid w:val="00DF3C64"/>
    <w:rsid w:val="00DF3E31"/>
    <w:rsid w:val="00DF42B4"/>
    <w:rsid w:val="00E00372"/>
    <w:rsid w:val="00E01EB0"/>
    <w:rsid w:val="00E03277"/>
    <w:rsid w:val="00E06B0C"/>
    <w:rsid w:val="00E1286C"/>
    <w:rsid w:val="00E1465A"/>
    <w:rsid w:val="00E14D9C"/>
    <w:rsid w:val="00E15DCD"/>
    <w:rsid w:val="00E20C75"/>
    <w:rsid w:val="00E22873"/>
    <w:rsid w:val="00E24D9A"/>
    <w:rsid w:val="00E26A2A"/>
    <w:rsid w:val="00E27B3B"/>
    <w:rsid w:val="00E3020A"/>
    <w:rsid w:val="00E30267"/>
    <w:rsid w:val="00E3201F"/>
    <w:rsid w:val="00E34022"/>
    <w:rsid w:val="00E34881"/>
    <w:rsid w:val="00E37439"/>
    <w:rsid w:val="00E4091D"/>
    <w:rsid w:val="00E41EE0"/>
    <w:rsid w:val="00E41F37"/>
    <w:rsid w:val="00E42317"/>
    <w:rsid w:val="00E439AD"/>
    <w:rsid w:val="00E450D2"/>
    <w:rsid w:val="00E46336"/>
    <w:rsid w:val="00E503F1"/>
    <w:rsid w:val="00E508DE"/>
    <w:rsid w:val="00E52F64"/>
    <w:rsid w:val="00E56575"/>
    <w:rsid w:val="00E57154"/>
    <w:rsid w:val="00E60D44"/>
    <w:rsid w:val="00E612C1"/>
    <w:rsid w:val="00E61702"/>
    <w:rsid w:val="00E63487"/>
    <w:rsid w:val="00E65B32"/>
    <w:rsid w:val="00E66CA0"/>
    <w:rsid w:val="00E67AFE"/>
    <w:rsid w:val="00E76299"/>
    <w:rsid w:val="00E80AB6"/>
    <w:rsid w:val="00E8281D"/>
    <w:rsid w:val="00E83CA5"/>
    <w:rsid w:val="00E84299"/>
    <w:rsid w:val="00E851D3"/>
    <w:rsid w:val="00E853DE"/>
    <w:rsid w:val="00E85FAC"/>
    <w:rsid w:val="00E87B93"/>
    <w:rsid w:val="00E9284B"/>
    <w:rsid w:val="00E93C89"/>
    <w:rsid w:val="00E953F5"/>
    <w:rsid w:val="00E973B2"/>
    <w:rsid w:val="00EA0C9E"/>
    <w:rsid w:val="00EA4BAB"/>
    <w:rsid w:val="00EA51A9"/>
    <w:rsid w:val="00EA554B"/>
    <w:rsid w:val="00EA55C5"/>
    <w:rsid w:val="00EA579A"/>
    <w:rsid w:val="00EA64EB"/>
    <w:rsid w:val="00EB1505"/>
    <w:rsid w:val="00EB1D6B"/>
    <w:rsid w:val="00EB28F0"/>
    <w:rsid w:val="00EB29E6"/>
    <w:rsid w:val="00EB52E7"/>
    <w:rsid w:val="00EB6865"/>
    <w:rsid w:val="00EB72BD"/>
    <w:rsid w:val="00EB7B4A"/>
    <w:rsid w:val="00EB7F0D"/>
    <w:rsid w:val="00EC509D"/>
    <w:rsid w:val="00EC6333"/>
    <w:rsid w:val="00ED0028"/>
    <w:rsid w:val="00ED0D91"/>
    <w:rsid w:val="00ED12AE"/>
    <w:rsid w:val="00ED37DF"/>
    <w:rsid w:val="00EE092D"/>
    <w:rsid w:val="00EE3EBB"/>
    <w:rsid w:val="00EE43B7"/>
    <w:rsid w:val="00EE47B2"/>
    <w:rsid w:val="00EE5579"/>
    <w:rsid w:val="00EE71F1"/>
    <w:rsid w:val="00EE7330"/>
    <w:rsid w:val="00EF15D0"/>
    <w:rsid w:val="00EF1C7F"/>
    <w:rsid w:val="00EF1DEB"/>
    <w:rsid w:val="00EF1ED5"/>
    <w:rsid w:val="00EF367C"/>
    <w:rsid w:val="00EF36EF"/>
    <w:rsid w:val="00EF409E"/>
    <w:rsid w:val="00F02F8B"/>
    <w:rsid w:val="00F10600"/>
    <w:rsid w:val="00F10FB1"/>
    <w:rsid w:val="00F14277"/>
    <w:rsid w:val="00F15C5D"/>
    <w:rsid w:val="00F161B5"/>
    <w:rsid w:val="00F1664B"/>
    <w:rsid w:val="00F207AC"/>
    <w:rsid w:val="00F2171C"/>
    <w:rsid w:val="00F2357C"/>
    <w:rsid w:val="00F235BE"/>
    <w:rsid w:val="00F24D76"/>
    <w:rsid w:val="00F271EC"/>
    <w:rsid w:val="00F300A1"/>
    <w:rsid w:val="00F33771"/>
    <w:rsid w:val="00F34397"/>
    <w:rsid w:val="00F36056"/>
    <w:rsid w:val="00F366A2"/>
    <w:rsid w:val="00F3785D"/>
    <w:rsid w:val="00F378DF"/>
    <w:rsid w:val="00F37A3B"/>
    <w:rsid w:val="00F40A8E"/>
    <w:rsid w:val="00F40D3E"/>
    <w:rsid w:val="00F41EAA"/>
    <w:rsid w:val="00F453B9"/>
    <w:rsid w:val="00F51BFF"/>
    <w:rsid w:val="00F57A1B"/>
    <w:rsid w:val="00F6031F"/>
    <w:rsid w:val="00F60560"/>
    <w:rsid w:val="00F63AC0"/>
    <w:rsid w:val="00F64F02"/>
    <w:rsid w:val="00F65BCB"/>
    <w:rsid w:val="00F66D37"/>
    <w:rsid w:val="00F7008C"/>
    <w:rsid w:val="00F7215D"/>
    <w:rsid w:val="00F721F2"/>
    <w:rsid w:val="00F731B9"/>
    <w:rsid w:val="00F75A6E"/>
    <w:rsid w:val="00F77072"/>
    <w:rsid w:val="00F805CC"/>
    <w:rsid w:val="00F806E3"/>
    <w:rsid w:val="00F81AD9"/>
    <w:rsid w:val="00F81BFB"/>
    <w:rsid w:val="00F8245B"/>
    <w:rsid w:val="00F826F5"/>
    <w:rsid w:val="00F83F06"/>
    <w:rsid w:val="00F847D8"/>
    <w:rsid w:val="00F84F7E"/>
    <w:rsid w:val="00F85010"/>
    <w:rsid w:val="00F8575D"/>
    <w:rsid w:val="00F86BC4"/>
    <w:rsid w:val="00F9027F"/>
    <w:rsid w:val="00F90A12"/>
    <w:rsid w:val="00F90CC0"/>
    <w:rsid w:val="00F95B40"/>
    <w:rsid w:val="00F95D59"/>
    <w:rsid w:val="00F97BC9"/>
    <w:rsid w:val="00FA0ED3"/>
    <w:rsid w:val="00FA5958"/>
    <w:rsid w:val="00FA719B"/>
    <w:rsid w:val="00FB0C93"/>
    <w:rsid w:val="00FB25D0"/>
    <w:rsid w:val="00FB53B4"/>
    <w:rsid w:val="00FB557F"/>
    <w:rsid w:val="00FC028C"/>
    <w:rsid w:val="00FC08BE"/>
    <w:rsid w:val="00FC15E2"/>
    <w:rsid w:val="00FC3510"/>
    <w:rsid w:val="00FC3D12"/>
    <w:rsid w:val="00FC60A6"/>
    <w:rsid w:val="00FD0116"/>
    <w:rsid w:val="00FD0978"/>
    <w:rsid w:val="00FD1006"/>
    <w:rsid w:val="00FD14B8"/>
    <w:rsid w:val="00FD202B"/>
    <w:rsid w:val="00FD2593"/>
    <w:rsid w:val="00FD2958"/>
    <w:rsid w:val="00FD537A"/>
    <w:rsid w:val="00FD6A61"/>
    <w:rsid w:val="00FE13AE"/>
    <w:rsid w:val="00FE57DE"/>
    <w:rsid w:val="00FE64F1"/>
    <w:rsid w:val="00FE7C51"/>
    <w:rsid w:val="00FF0189"/>
    <w:rsid w:val="00FF1A3D"/>
    <w:rsid w:val="00FF2221"/>
    <w:rsid w:val="00FF394F"/>
    <w:rsid w:val="01242317"/>
    <w:rsid w:val="01313BC9"/>
    <w:rsid w:val="014C4F0B"/>
    <w:rsid w:val="014D38CE"/>
    <w:rsid w:val="014E189C"/>
    <w:rsid w:val="01785F78"/>
    <w:rsid w:val="018E3397"/>
    <w:rsid w:val="01A92304"/>
    <w:rsid w:val="01B638F2"/>
    <w:rsid w:val="01BD7FF5"/>
    <w:rsid w:val="01CB589F"/>
    <w:rsid w:val="01DB34CD"/>
    <w:rsid w:val="01FA1C1C"/>
    <w:rsid w:val="02034185"/>
    <w:rsid w:val="02216E27"/>
    <w:rsid w:val="022C3B28"/>
    <w:rsid w:val="024B1FDC"/>
    <w:rsid w:val="02750329"/>
    <w:rsid w:val="02B63C89"/>
    <w:rsid w:val="02CB720D"/>
    <w:rsid w:val="02D31408"/>
    <w:rsid w:val="02DB21D4"/>
    <w:rsid w:val="02E07781"/>
    <w:rsid w:val="02E861B8"/>
    <w:rsid w:val="02FE62FF"/>
    <w:rsid w:val="0304755F"/>
    <w:rsid w:val="03107A10"/>
    <w:rsid w:val="03261729"/>
    <w:rsid w:val="034B6C1B"/>
    <w:rsid w:val="036A4B19"/>
    <w:rsid w:val="036C5218"/>
    <w:rsid w:val="036E3CDE"/>
    <w:rsid w:val="0383396E"/>
    <w:rsid w:val="03A06171"/>
    <w:rsid w:val="03A94C94"/>
    <w:rsid w:val="03AD68A5"/>
    <w:rsid w:val="03BF7E30"/>
    <w:rsid w:val="03C6311E"/>
    <w:rsid w:val="03D07B85"/>
    <w:rsid w:val="03E423DF"/>
    <w:rsid w:val="03FB05A2"/>
    <w:rsid w:val="04483242"/>
    <w:rsid w:val="044D1E92"/>
    <w:rsid w:val="045B4D20"/>
    <w:rsid w:val="0467425D"/>
    <w:rsid w:val="04737073"/>
    <w:rsid w:val="04760187"/>
    <w:rsid w:val="047C7E66"/>
    <w:rsid w:val="048C71B6"/>
    <w:rsid w:val="048D52E3"/>
    <w:rsid w:val="04A14E70"/>
    <w:rsid w:val="04A30E6F"/>
    <w:rsid w:val="04B21FA2"/>
    <w:rsid w:val="04CB07E2"/>
    <w:rsid w:val="04D47DE9"/>
    <w:rsid w:val="04DD782E"/>
    <w:rsid w:val="050C2EF3"/>
    <w:rsid w:val="0513344D"/>
    <w:rsid w:val="054C6F48"/>
    <w:rsid w:val="05505ECA"/>
    <w:rsid w:val="055E3F2B"/>
    <w:rsid w:val="057002E9"/>
    <w:rsid w:val="057C05FD"/>
    <w:rsid w:val="05854269"/>
    <w:rsid w:val="05A50546"/>
    <w:rsid w:val="061D7271"/>
    <w:rsid w:val="06375086"/>
    <w:rsid w:val="0657114B"/>
    <w:rsid w:val="06703B18"/>
    <w:rsid w:val="067F30D9"/>
    <w:rsid w:val="068D08D3"/>
    <w:rsid w:val="06922E1B"/>
    <w:rsid w:val="06A57743"/>
    <w:rsid w:val="06AD503F"/>
    <w:rsid w:val="06B561BE"/>
    <w:rsid w:val="06D1243B"/>
    <w:rsid w:val="06F232B3"/>
    <w:rsid w:val="06FF42EE"/>
    <w:rsid w:val="07233B2D"/>
    <w:rsid w:val="073E67FD"/>
    <w:rsid w:val="07427044"/>
    <w:rsid w:val="074E1C5F"/>
    <w:rsid w:val="07661699"/>
    <w:rsid w:val="077A599D"/>
    <w:rsid w:val="077C20A1"/>
    <w:rsid w:val="07907AD9"/>
    <w:rsid w:val="07924BEC"/>
    <w:rsid w:val="079528C9"/>
    <w:rsid w:val="07A2346B"/>
    <w:rsid w:val="07A6797D"/>
    <w:rsid w:val="07B46292"/>
    <w:rsid w:val="07C113D9"/>
    <w:rsid w:val="07C1387C"/>
    <w:rsid w:val="07FE6C76"/>
    <w:rsid w:val="07FF5B27"/>
    <w:rsid w:val="080A2411"/>
    <w:rsid w:val="08413DA7"/>
    <w:rsid w:val="084E02D6"/>
    <w:rsid w:val="087C7918"/>
    <w:rsid w:val="089D0E4D"/>
    <w:rsid w:val="08A917F3"/>
    <w:rsid w:val="08DA73C3"/>
    <w:rsid w:val="09032971"/>
    <w:rsid w:val="09076140"/>
    <w:rsid w:val="09385329"/>
    <w:rsid w:val="09395450"/>
    <w:rsid w:val="09522466"/>
    <w:rsid w:val="095E1236"/>
    <w:rsid w:val="09767929"/>
    <w:rsid w:val="09883D82"/>
    <w:rsid w:val="09923DFE"/>
    <w:rsid w:val="09966D53"/>
    <w:rsid w:val="099F6922"/>
    <w:rsid w:val="09A22251"/>
    <w:rsid w:val="09AB363F"/>
    <w:rsid w:val="09C72CE6"/>
    <w:rsid w:val="09CD793D"/>
    <w:rsid w:val="09CF563E"/>
    <w:rsid w:val="09E34368"/>
    <w:rsid w:val="0A1E1361"/>
    <w:rsid w:val="0A271397"/>
    <w:rsid w:val="0A6B3FC2"/>
    <w:rsid w:val="0A833A22"/>
    <w:rsid w:val="0AAA7647"/>
    <w:rsid w:val="0AC11872"/>
    <w:rsid w:val="0B013EE3"/>
    <w:rsid w:val="0B07078C"/>
    <w:rsid w:val="0B083504"/>
    <w:rsid w:val="0B3C2C51"/>
    <w:rsid w:val="0B3F7009"/>
    <w:rsid w:val="0B46262E"/>
    <w:rsid w:val="0B4C3A40"/>
    <w:rsid w:val="0B7E2F89"/>
    <w:rsid w:val="0B804075"/>
    <w:rsid w:val="0B905802"/>
    <w:rsid w:val="0BC347FD"/>
    <w:rsid w:val="0BCA37D5"/>
    <w:rsid w:val="0BF15F9D"/>
    <w:rsid w:val="0C3769ED"/>
    <w:rsid w:val="0C405AE9"/>
    <w:rsid w:val="0C5E5082"/>
    <w:rsid w:val="0C63792E"/>
    <w:rsid w:val="0C7C20EA"/>
    <w:rsid w:val="0C8D10FD"/>
    <w:rsid w:val="0C8E2368"/>
    <w:rsid w:val="0CD9479D"/>
    <w:rsid w:val="0CEE180C"/>
    <w:rsid w:val="0CF43F56"/>
    <w:rsid w:val="0CF6634A"/>
    <w:rsid w:val="0CFE6281"/>
    <w:rsid w:val="0D167FB6"/>
    <w:rsid w:val="0D304BAE"/>
    <w:rsid w:val="0D436728"/>
    <w:rsid w:val="0D485884"/>
    <w:rsid w:val="0D4C7A6F"/>
    <w:rsid w:val="0D603D9F"/>
    <w:rsid w:val="0D76670F"/>
    <w:rsid w:val="0D8914F8"/>
    <w:rsid w:val="0D8940E9"/>
    <w:rsid w:val="0DE87A43"/>
    <w:rsid w:val="0DF47145"/>
    <w:rsid w:val="0E0B0D44"/>
    <w:rsid w:val="0E4229F6"/>
    <w:rsid w:val="0E621A33"/>
    <w:rsid w:val="0E627BC3"/>
    <w:rsid w:val="0E637034"/>
    <w:rsid w:val="0E6D677E"/>
    <w:rsid w:val="0E935149"/>
    <w:rsid w:val="0E9504DB"/>
    <w:rsid w:val="0E974024"/>
    <w:rsid w:val="0E9E7FFF"/>
    <w:rsid w:val="0EE64936"/>
    <w:rsid w:val="0F093411"/>
    <w:rsid w:val="0F0F4EF3"/>
    <w:rsid w:val="0F3559D6"/>
    <w:rsid w:val="0F4B0B9B"/>
    <w:rsid w:val="0F4F5903"/>
    <w:rsid w:val="0F5E3399"/>
    <w:rsid w:val="0F6005A0"/>
    <w:rsid w:val="0F815E5B"/>
    <w:rsid w:val="0F8B6BEA"/>
    <w:rsid w:val="0F9B173C"/>
    <w:rsid w:val="0FBC3E43"/>
    <w:rsid w:val="0FC304E2"/>
    <w:rsid w:val="0FD72C0C"/>
    <w:rsid w:val="0FE90E68"/>
    <w:rsid w:val="0FFC0D05"/>
    <w:rsid w:val="100B7BD7"/>
    <w:rsid w:val="10260EB5"/>
    <w:rsid w:val="1040293C"/>
    <w:rsid w:val="104261FB"/>
    <w:rsid w:val="108E37C8"/>
    <w:rsid w:val="10983AB5"/>
    <w:rsid w:val="10A84D8E"/>
    <w:rsid w:val="10AA16D7"/>
    <w:rsid w:val="10BF1E1C"/>
    <w:rsid w:val="10C30D0C"/>
    <w:rsid w:val="10DF1DAC"/>
    <w:rsid w:val="10F17A2C"/>
    <w:rsid w:val="110C51E9"/>
    <w:rsid w:val="112C1421"/>
    <w:rsid w:val="11341DE4"/>
    <w:rsid w:val="11483DB8"/>
    <w:rsid w:val="11582BA5"/>
    <w:rsid w:val="11596E29"/>
    <w:rsid w:val="118E688E"/>
    <w:rsid w:val="11A35C7F"/>
    <w:rsid w:val="11B50DDF"/>
    <w:rsid w:val="121876EB"/>
    <w:rsid w:val="12277632"/>
    <w:rsid w:val="12285EBD"/>
    <w:rsid w:val="124B36C1"/>
    <w:rsid w:val="12572299"/>
    <w:rsid w:val="126229AE"/>
    <w:rsid w:val="127A296E"/>
    <w:rsid w:val="12A163A9"/>
    <w:rsid w:val="12C64AA0"/>
    <w:rsid w:val="12CE14B2"/>
    <w:rsid w:val="12D930F4"/>
    <w:rsid w:val="133B4987"/>
    <w:rsid w:val="13472901"/>
    <w:rsid w:val="13476DD5"/>
    <w:rsid w:val="139E2747"/>
    <w:rsid w:val="13A83E81"/>
    <w:rsid w:val="13B960B0"/>
    <w:rsid w:val="13BD3F81"/>
    <w:rsid w:val="13D01C80"/>
    <w:rsid w:val="13D10427"/>
    <w:rsid w:val="13E82E90"/>
    <w:rsid w:val="14225BE6"/>
    <w:rsid w:val="1425044C"/>
    <w:rsid w:val="144956CF"/>
    <w:rsid w:val="14672133"/>
    <w:rsid w:val="146C6811"/>
    <w:rsid w:val="14733585"/>
    <w:rsid w:val="147F108D"/>
    <w:rsid w:val="148F1B12"/>
    <w:rsid w:val="1495254B"/>
    <w:rsid w:val="14AE5234"/>
    <w:rsid w:val="14D55697"/>
    <w:rsid w:val="14DF1579"/>
    <w:rsid w:val="15410AE7"/>
    <w:rsid w:val="156245C4"/>
    <w:rsid w:val="15DE599A"/>
    <w:rsid w:val="15EC3C78"/>
    <w:rsid w:val="16145B44"/>
    <w:rsid w:val="161C075A"/>
    <w:rsid w:val="161C42E3"/>
    <w:rsid w:val="16475497"/>
    <w:rsid w:val="16497555"/>
    <w:rsid w:val="1657670E"/>
    <w:rsid w:val="16643506"/>
    <w:rsid w:val="166E0A0F"/>
    <w:rsid w:val="167833C8"/>
    <w:rsid w:val="169633AD"/>
    <w:rsid w:val="16CA6C20"/>
    <w:rsid w:val="16CC1FD3"/>
    <w:rsid w:val="171B79C0"/>
    <w:rsid w:val="174B71D8"/>
    <w:rsid w:val="179A74E7"/>
    <w:rsid w:val="17B02545"/>
    <w:rsid w:val="17B11B57"/>
    <w:rsid w:val="17B435A3"/>
    <w:rsid w:val="17DB25F0"/>
    <w:rsid w:val="17E5463C"/>
    <w:rsid w:val="17E723F6"/>
    <w:rsid w:val="17E9631D"/>
    <w:rsid w:val="17EC70AE"/>
    <w:rsid w:val="17F065E9"/>
    <w:rsid w:val="17F75C26"/>
    <w:rsid w:val="181D6D3D"/>
    <w:rsid w:val="181E086D"/>
    <w:rsid w:val="183A715D"/>
    <w:rsid w:val="188A3081"/>
    <w:rsid w:val="18927AAC"/>
    <w:rsid w:val="18A15F90"/>
    <w:rsid w:val="18A65C19"/>
    <w:rsid w:val="18AD5698"/>
    <w:rsid w:val="18C05AEF"/>
    <w:rsid w:val="18D75F9F"/>
    <w:rsid w:val="18EB10F6"/>
    <w:rsid w:val="18EB5FBE"/>
    <w:rsid w:val="191C274C"/>
    <w:rsid w:val="191F7E1B"/>
    <w:rsid w:val="19252F74"/>
    <w:rsid w:val="19597C05"/>
    <w:rsid w:val="198B692C"/>
    <w:rsid w:val="198F193F"/>
    <w:rsid w:val="19974177"/>
    <w:rsid w:val="19B01A7D"/>
    <w:rsid w:val="19CC46CB"/>
    <w:rsid w:val="19E14607"/>
    <w:rsid w:val="19F53824"/>
    <w:rsid w:val="19FC614C"/>
    <w:rsid w:val="1A156242"/>
    <w:rsid w:val="1A4F0849"/>
    <w:rsid w:val="1A773450"/>
    <w:rsid w:val="1A7D6097"/>
    <w:rsid w:val="1A7F6CF5"/>
    <w:rsid w:val="1ABD7F0B"/>
    <w:rsid w:val="1AC252AE"/>
    <w:rsid w:val="1AF756B1"/>
    <w:rsid w:val="1B293DA0"/>
    <w:rsid w:val="1B487802"/>
    <w:rsid w:val="1B490373"/>
    <w:rsid w:val="1B6C48F8"/>
    <w:rsid w:val="1BB17A77"/>
    <w:rsid w:val="1BB31E23"/>
    <w:rsid w:val="1BB446BE"/>
    <w:rsid w:val="1BBE7E2A"/>
    <w:rsid w:val="1BC456DE"/>
    <w:rsid w:val="1BE8619F"/>
    <w:rsid w:val="1BFC012B"/>
    <w:rsid w:val="1C055963"/>
    <w:rsid w:val="1C0639C3"/>
    <w:rsid w:val="1C2A53D1"/>
    <w:rsid w:val="1C6E22D0"/>
    <w:rsid w:val="1C6F716C"/>
    <w:rsid w:val="1C8361D3"/>
    <w:rsid w:val="1C936256"/>
    <w:rsid w:val="1C9D302F"/>
    <w:rsid w:val="1CAC6092"/>
    <w:rsid w:val="1CB05709"/>
    <w:rsid w:val="1CE73CDD"/>
    <w:rsid w:val="1CF448FF"/>
    <w:rsid w:val="1CFD4217"/>
    <w:rsid w:val="1D223E34"/>
    <w:rsid w:val="1D373C9E"/>
    <w:rsid w:val="1D4010E0"/>
    <w:rsid w:val="1D744167"/>
    <w:rsid w:val="1D9C3CE5"/>
    <w:rsid w:val="1D9F5FE4"/>
    <w:rsid w:val="1DD008C4"/>
    <w:rsid w:val="1E052285"/>
    <w:rsid w:val="1E097069"/>
    <w:rsid w:val="1E684B04"/>
    <w:rsid w:val="1E773E27"/>
    <w:rsid w:val="1E863010"/>
    <w:rsid w:val="1EA22F22"/>
    <w:rsid w:val="1EBA1A57"/>
    <w:rsid w:val="1EC33642"/>
    <w:rsid w:val="1EC37317"/>
    <w:rsid w:val="1EC46128"/>
    <w:rsid w:val="1ED904EA"/>
    <w:rsid w:val="1F0965BF"/>
    <w:rsid w:val="1F157FAC"/>
    <w:rsid w:val="1F447284"/>
    <w:rsid w:val="1F521A5C"/>
    <w:rsid w:val="1F537767"/>
    <w:rsid w:val="1F613FE3"/>
    <w:rsid w:val="1FC141D0"/>
    <w:rsid w:val="1FC5532C"/>
    <w:rsid w:val="20125EBD"/>
    <w:rsid w:val="20172329"/>
    <w:rsid w:val="204E03F0"/>
    <w:rsid w:val="20756C5F"/>
    <w:rsid w:val="20761DEA"/>
    <w:rsid w:val="20877613"/>
    <w:rsid w:val="20A330CD"/>
    <w:rsid w:val="20A9504F"/>
    <w:rsid w:val="20C65C2A"/>
    <w:rsid w:val="20E2296F"/>
    <w:rsid w:val="20FB79A3"/>
    <w:rsid w:val="210A133E"/>
    <w:rsid w:val="21137C94"/>
    <w:rsid w:val="212F7962"/>
    <w:rsid w:val="2132074C"/>
    <w:rsid w:val="21385848"/>
    <w:rsid w:val="214327BC"/>
    <w:rsid w:val="21783E74"/>
    <w:rsid w:val="217F5972"/>
    <w:rsid w:val="219B6812"/>
    <w:rsid w:val="21BB6D7E"/>
    <w:rsid w:val="21D33F42"/>
    <w:rsid w:val="21EA5E20"/>
    <w:rsid w:val="22112C5A"/>
    <w:rsid w:val="22302AF2"/>
    <w:rsid w:val="2250018C"/>
    <w:rsid w:val="225E2BAD"/>
    <w:rsid w:val="2260704E"/>
    <w:rsid w:val="226A3C59"/>
    <w:rsid w:val="22B27B19"/>
    <w:rsid w:val="22CE5121"/>
    <w:rsid w:val="22D84194"/>
    <w:rsid w:val="230E00CE"/>
    <w:rsid w:val="23680C0E"/>
    <w:rsid w:val="23713ACF"/>
    <w:rsid w:val="237A5AD9"/>
    <w:rsid w:val="238567AD"/>
    <w:rsid w:val="23871526"/>
    <w:rsid w:val="23A52A6D"/>
    <w:rsid w:val="23AE3F96"/>
    <w:rsid w:val="23D07CFA"/>
    <w:rsid w:val="24071E68"/>
    <w:rsid w:val="242342EC"/>
    <w:rsid w:val="243179B5"/>
    <w:rsid w:val="24476FEA"/>
    <w:rsid w:val="24512D0E"/>
    <w:rsid w:val="245843B3"/>
    <w:rsid w:val="245D5B57"/>
    <w:rsid w:val="2461228D"/>
    <w:rsid w:val="246B3544"/>
    <w:rsid w:val="24702782"/>
    <w:rsid w:val="247D5480"/>
    <w:rsid w:val="248351B9"/>
    <w:rsid w:val="24857D66"/>
    <w:rsid w:val="248A3524"/>
    <w:rsid w:val="248C38B8"/>
    <w:rsid w:val="24C8393D"/>
    <w:rsid w:val="24DE1402"/>
    <w:rsid w:val="24E4362E"/>
    <w:rsid w:val="24E5625D"/>
    <w:rsid w:val="25373185"/>
    <w:rsid w:val="25373239"/>
    <w:rsid w:val="255726E6"/>
    <w:rsid w:val="25623CA2"/>
    <w:rsid w:val="25703710"/>
    <w:rsid w:val="25775EF6"/>
    <w:rsid w:val="257763C3"/>
    <w:rsid w:val="258375ED"/>
    <w:rsid w:val="25900F83"/>
    <w:rsid w:val="2595421F"/>
    <w:rsid w:val="259E1339"/>
    <w:rsid w:val="25A63C1F"/>
    <w:rsid w:val="25A760D9"/>
    <w:rsid w:val="25C24EE0"/>
    <w:rsid w:val="25C9437D"/>
    <w:rsid w:val="25FB128E"/>
    <w:rsid w:val="260237D7"/>
    <w:rsid w:val="26040100"/>
    <w:rsid w:val="26196B4F"/>
    <w:rsid w:val="261E09B6"/>
    <w:rsid w:val="263D65D6"/>
    <w:rsid w:val="26415AF1"/>
    <w:rsid w:val="2652472B"/>
    <w:rsid w:val="265C3B3F"/>
    <w:rsid w:val="26766557"/>
    <w:rsid w:val="26ED0861"/>
    <w:rsid w:val="26EF3957"/>
    <w:rsid w:val="26F44DFF"/>
    <w:rsid w:val="26F519E0"/>
    <w:rsid w:val="27151626"/>
    <w:rsid w:val="27463AB1"/>
    <w:rsid w:val="27471B3B"/>
    <w:rsid w:val="27547370"/>
    <w:rsid w:val="27770BE2"/>
    <w:rsid w:val="277B4476"/>
    <w:rsid w:val="2787081E"/>
    <w:rsid w:val="278B0674"/>
    <w:rsid w:val="278F11C9"/>
    <w:rsid w:val="27A25F63"/>
    <w:rsid w:val="27AE6D4A"/>
    <w:rsid w:val="27B20501"/>
    <w:rsid w:val="27B36FF9"/>
    <w:rsid w:val="27B45834"/>
    <w:rsid w:val="27B768EE"/>
    <w:rsid w:val="27B83D6E"/>
    <w:rsid w:val="27B87B86"/>
    <w:rsid w:val="27C36E42"/>
    <w:rsid w:val="27C5204D"/>
    <w:rsid w:val="27C552DF"/>
    <w:rsid w:val="28084573"/>
    <w:rsid w:val="28105E00"/>
    <w:rsid w:val="28133AD5"/>
    <w:rsid w:val="283E39FC"/>
    <w:rsid w:val="28410FB1"/>
    <w:rsid w:val="2852270C"/>
    <w:rsid w:val="2874292B"/>
    <w:rsid w:val="287C64DF"/>
    <w:rsid w:val="28DD1B96"/>
    <w:rsid w:val="291036AE"/>
    <w:rsid w:val="29490F61"/>
    <w:rsid w:val="295276A3"/>
    <w:rsid w:val="297B26F0"/>
    <w:rsid w:val="29825C13"/>
    <w:rsid w:val="298B01ED"/>
    <w:rsid w:val="29A279FA"/>
    <w:rsid w:val="29B048EF"/>
    <w:rsid w:val="29E71D6D"/>
    <w:rsid w:val="29F92874"/>
    <w:rsid w:val="29FE39AA"/>
    <w:rsid w:val="2A1C7C51"/>
    <w:rsid w:val="2A2D0515"/>
    <w:rsid w:val="2A6C6AA3"/>
    <w:rsid w:val="2A774CA2"/>
    <w:rsid w:val="2AA11E00"/>
    <w:rsid w:val="2AB00BE9"/>
    <w:rsid w:val="2AC65003"/>
    <w:rsid w:val="2AD135F9"/>
    <w:rsid w:val="2ADE461A"/>
    <w:rsid w:val="2AE4041E"/>
    <w:rsid w:val="2B0A0F21"/>
    <w:rsid w:val="2B0D7502"/>
    <w:rsid w:val="2B146EFC"/>
    <w:rsid w:val="2B1C54D0"/>
    <w:rsid w:val="2B225C43"/>
    <w:rsid w:val="2B297378"/>
    <w:rsid w:val="2B576A71"/>
    <w:rsid w:val="2B5A110F"/>
    <w:rsid w:val="2B630168"/>
    <w:rsid w:val="2B714BA7"/>
    <w:rsid w:val="2B8A2664"/>
    <w:rsid w:val="2BAB38FF"/>
    <w:rsid w:val="2BD1498F"/>
    <w:rsid w:val="2BFD3509"/>
    <w:rsid w:val="2C0E664C"/>
    <w:rsid w:val="2C31143F"/>
    <w:rsid w:val="2C8866A4"/>
    <w:rsid w:val="2CAD4098"/>
    <w:rsid w:val="2CCA542B"/>
    <w:rsid w:val="2CEF5396"/>
    <w:rsid w:val="2D010736"/>
    <w:rsid w:val="2D3336B7"/>
    <w:rsid w:val="2D48322B"/>
    <w:rsid w:val="2D6D6046"/>
    <w:rsid w:val="2DD575EF"/>
    <w:rsid w:val="2DE91DB0"/>
    <w:rsid w:val="2DFC7718"/>
    <w:rsid w:val="2DFD6E1F"/>
    <w:rsid w:val="2E0B39F3"/>
    <w:rsid w:val="2E3D38D4"/>
    <w:rsid w:val="2E4C0114"/>
    <w:rsid w:val="2E6808AE"/>
    <w:rsid w:val="2E960E75"/>
    <w:rsid w:val="2E9621B5"/>
    <w:rsid w:val="2EA224E3"/>
    <w:rsid w:val="2EC240A0"/>
    <w:rsid w:val="2EDA37A1"/>
    <w:rsid w:val="2EE90B65"/>
    <w:rsid w:val="2EF5461F"/>
    <w:rsid w:val="2F0E7715"/>
    <w:rsid w:val="2F1A79DF"/>
    <w:rsid w:val="2F254AD3"/>
    <w:rsid w:val="2F694ED9"/>
    <w:rsid w:val="2F6F5744"/>
    <w:rsid w:val="2FA16728"/>
    <w:rsid w:val="2FAE542E"/>
    <w:rsid w:val="2FAF20E8"/>
    <w:rsid w:val="2FB670AF"/>
    <w:rsid w:val="2FD32D86"/>
    <w:rsid w:val="2FEA1283"/>
    <w:rsid w:val="2FF33C34"/>
    <w:rsid w:val="301C4900"/>
    <w:rsid w:val="3028327F"/>
    <w:rsid w:val="303B4803"/>
    <w:rsid w:val="304537BE"/>
    <w:rsid w:val="304754FE"/>
    <w:rsid w:val="307B13F0"/>
    <w:rsid w:val="30877FA2"/>
    <w:rsid w:val="30B751CC"/>
    <w:rsid w:val="30D44048"/>
    <w:rsid w:val="30DF746F"/>
    <w:rsid w:val="30F2185A"/>
    <w:rsid w:val="311B06BF"/>
    <w:rsid w:val="311E4484"/>
    <w:rsid w:val="31303466"/>
    <w:rsid w:val="31483511"/>
    <w:rsid w:val="31531157"/>
    <w:rsid w:val="31747462"/>
    <w:rsid w:val="317B1BB4"/>
    <w:rsid w:val="319A3DDA"/>
    <w:rsid w:val="319B4E07"/>
    <w:rsid w:val="31C2403B"/>
    <w:rsid w:val="31E44819"/>
    <w:rsid w:val="31F46BBE"/>
    <w:rsid w:val="31F91714"/>
    <w:rsid w:val="321564C4"/>
    <w:rsid w:val="321773C3"/>
    <w:rsid w:val="323932FA"/>
    <w:rsid w:val="32475579"/>
    <w:rsid w:val="324E2C45"/>
    <w:rsid w:val="326B21D7"/>
    <w:rsid w:val="32804858"/>
    <w:rsid w:val="32B503D1"/>
    <w:rsid w:val="32CD69C5"/>
    <w:rsid w:val="32D83145"/>
    <w:rsid w:val="32ED257A"/>
    <w:rsid w:val="333B7ABA"/>
    <w:rsid w:val="333F4C11"/>
    <w:rsid w:val="334B0F27"/>
    <w:rsid w:val="3354069D"/>
    <w:rsid w:val="338A0823"/>
    <w:rsid w:val="339A61D5"/>
    <w:rsid w:val="33AD3876"/>
    <w:rsid w:val="33BA333A"/>
    <w:rsid w:val="33BE7DA6"/>
    <w:rsid w:val="33D63C0B"/>
    <w:rsid w:val="33DF6D44"/>
    <w:rsid w:val="33FE52B9"/>
    <w:rsid w:val="34071ACD"/>
    <w:rsid w:val="342D06C4"/>
    <w:rsid w:val="34821026"/>
    <w:rsid w:val="348E1828"/>
    <w:rsid w:val="34A0748A"/>
    <w:rsid w:val="34A7329F"/>
    <w:rsid w:val="34EB3E3A"/>
    <w:rsid w:val="350103AF"/>
    <w:rsid w:val="353A2E9D"/>
    <w:rsid w:val="357C7ECF"/>
    <w:rsid w:val="35804A8A"/>
    <w:rsid w:val="35816AF9"/>
    <w:rsid w:val="359B7273"/>
    <w:rsid w:val="35B77D96"/>
    <w:rsid w:val="35CC02DE"/>
    <w:rsid w:val="35D23421"/>
    <w:rsid w:val="35D36C45"/>
    <w:rsid w:val="35D9634F"/>
    <w:rsid w:val="35E87AA2"/>
    <w:rsid w:val="360A4520"/>
    <w:rsid w:val="360A77BD"/>
    <w:rsid w:val="367D0EBB"/>
    <w:rsid w:val="36981107"/>
    <w:rsid w:val="36BA5E77"/>
    <w:rsid w:val="36C5007D"/>
    <w:rsid w:val="374C6531"/>
    <w:rsid w:val="37574216"/>
    <w:rsid w:val="375B5A08"/>
    <w:rsid w:val="376541A4"/>
    <w:rsid w:val="37723228"/>
    <w:rsid w:val="37732049"/>
    <w:rsid w:val="37775DEA"/>
    <w:rsid w:val="378E62DC"/>
    <w:rsid w:val="37C603AA"/>
    <w:rsid w:val="37D13683"/>
    <w:rsid w:val="381F1EBF"/>
    <w:rsid w:val="383E45D6"/>
    <w:rsid w:val="3843763D"/>
    <w:rsid w:val="38445883"/>
    <w:rsid w:val="38695F66"/>
    <w:rsid w:val="38920AFA"/>
    <w:rsid w:val="389E1413"/>
    <w:rsid w:val="38AC5924"/>
    <w:rsid w:val="38C20631"/>
    <w:rsid w:val="38CF200E"/>
    <w:rsid w:val="38F6372F"/>
    <w:rsid w:val="3900286B"/>
    <w:rsid w:val="390E2D96"/>
    <w:rsid w:val="393671A8"/>
    <w:rsid w:val="39521EB6"/>
    <w:rsid w:val="396852FB"/>
    <w:rsid w:val="39780606"/>
    <w:rsid w:val="397E071D"/>
    <w:rsid w:val="39943506"/>
    <w:rsid w:val="3997279E"/>
    <w:rsid w:val="39E82317"/>
    <w:rsid w:val="39F11AC1"/>
    <w:rsid w:val="3A2A4049"/>
    <w:rsid w:val="3A3E4AAD"/>
    <w:rsid w:val="3A5126DF"/>
    <w:rsid w:val="3A723320"/>
    <w:rsid w:val="3A7C42C9"/>
    <w:rsid w:val="3A832F57"/>
    <w:rsid w:val="3AAB05A7"/>
    <w:rsid w:val="3AAB6CAF"/>
    <w:rsid w:val="3AB077FB"/>
    <w:rsid w:val="3AC51D5B"/>
    <w:rsid w:val="3ACE565F"/>
    <w:rsid w:val="3AE82B6A"/>
    <w:rsid w:val="3B026829"/>
    <w:rsid w:val="3B090558"/>
    <w:rsid w:val="3B0A47AB"/>
    <w:rsid w:val="3B1035AF"/>
    <w:rsid w:val="3B3932CD"/>
    <w:rsid w:val="3B5240E5"/>
    <w:rsid w:val="3B811F48"/>
    <w:rsid w:val="3BC8310D"/>
    <w:rsid w:val="3C383A8B"/>
    <w:rsid w:val="3C446C8B"/>
    <w:rsid w:val="3C6642EF"/>
    <w:rsid w:val="3C7726C2"/>
    <w:rsid w:val="3C780AA5"/>
    <w:rsid w:val="3C94657A"/>
    <w:rsid w:val="3CA1310E"/>
    <w:rsid w:val="3CC4169D"/>
    <w:rsid w:val="3CD12983"/>
    <w:rsid w:val="3CDC257C"/>
    <w:rsid w:val="3D2402E8"/>
    <w:rsid w:val="3D4C374C"/>
    <w:rsid w:val="3D8F7BC5"/>
    <w:rsid w:val="3DC000B1"/>
    <w:rsid w:val="3DE54499"/>
    <w:rsid w:val="3DE824B8"/>
    <w:rsid w:val="3DFD44B4"/>
    <w:rsid w:val="3E0B01AF"/>
    <w:rsid w:val="3E2905E0"/>
    <w:rsid w:val="3E3B0BA2"/>
    <w:rsid w:val="3E50762F"/>
    <w:rsid w:val="3E696AF3"/>
    <w:rsid w:val="3E7427D6"/>
    <w:rsid w:val="3E772F46"/>
    <w:rsid w:val="3EA33820"/>
    <w:rsid w:val="3EBE4205"/>
    <w:rsid w:val="3ED13575"/>
    <w:rsid w:val="3ED37B27"/>
    <w:rsid w:val="3ED672CE"/>
    <w:rsid w:val="3EF14D65"/>
    <w:rsid w:val="3F047B60"/>
    <w:rsid w:val="3F152967"/>
    <w:rsid w:val="3F3C178B"/>
    <w:rsid w:val="3F3C4F5E"/>
    <w:rsid w:val="3F3D458A"/>
    <w:rsid w:val="3F41742F"/>
    <w:rsid w:val="3F4E3F87"/>
    <w:rsid w:val="3F6B20CB"/>
    <w:rsid w:val="3F8670E4"/>
    <w:rsid w:val="3F9B2054"/>
    <w:rsid w:val="3FC02573"/>
    <w:rsid w:val="3FD21A8A"/>
    <w:rsid w:val="3FD370A0"/>
    <w:rsid w:val="3FDD5294"/>
    <w:rsid w:val="3FE10ACC"/>
    <w:rsid w:val="3FE4524B"/>
    <w:rsid w:val="3FF57AA3"/>
    <w:rsid w:val="40005504"/>
    <w:rsid w:val="40282180"/>
    <w:rsid w:val="404C5975"/>
    <w:rsid w:val="405F474B"/>
    <w:rsid w:val="40697608"/>
    <w:rsid w:val="408760CC"/>
    <w:rsid w:val="40F5196F"/>
    <w:rsid w:val="411049FC"/>
    <w:rsid w:val="411A7F70"/>
    <w:rsid w:val="412900AA"/>
    <w:rsid w:val="414463FD"/>
    <w:rsid w:val="415316E0"/>
    <w:rsid w:val="41546F5A"/>
    <w:rsid w:val="417013DA"/>
    <w:rsid w:val="41796E89"/>
    <w:rsid w:val="417D6270"/>
    <w:rsid w:val="417F73F6"/>
    <w:rsid w:val="41B3660D"/>
    <w:rsid w:val="41CA459B"/>
    <w:rsid w:val="41ED0BD0"/>
    <w:rsid w:val="41FB27EF"/>
    <w:rsid w:val="41FB4F0D"/>
    <w:rsid w:val="42045F55"/>
    <w:rsid w:val="42127AEA"/>
    <w:rsid w:val="421723E3"/>
    <w:rsid w:val="42354DC5"/>
    <w:rsid w:val="42717B79"/>
    <w:rsid w:val="42735D45"/>
    <w:rsid w:val="427B389F"/>
    <w:rsid w:val="42A47D23"/>
    <w:rsid w:val="42AF5EBA"/>
    <w:rsid w:val="42CE1E27"/>
    <w:rsid w:val="42EF2219"/>
    <w:rsid w:val="431404BC"/>
    <w:rsid w:val="43304DC2"/>
    <w:rsid w:val="43377517"/>
    <w:rsid w:val="4338207E"/>
    <w:rsid w:val="433C6C43"/>
    <w:rsid w:val="435C3645"/>
    <w:rsid w:val="43726D4E"/>
    <w:rsid w:val="43787D46"/>
    <w:rsid w:val="43802C30"/>
    <w:rsid w:val="43861843"/>
    <w:rsid w:val="438A5A6B"/>
    <w:rsid w:val="43960227"/>
    <w:rsid w:val="43A06254"/>
    <w:rsid w:val="43D931E1"/>
    <w:rsid w:val="43F517E7"/>
    <w:rsid w:val="440F09D8"/>
    <w:rsid w:val="441A4E29"/>
    <w:rsid w:val="44237FCD"/>
    <w:rsid w:val="44454DE8"/>
    <w:rsid w:val="448A3879"/>
    <w:rsid w:val="449222CE"/>
    <w:rsid w:val="44B00505"/>
    <w:rsid w:val="44E66741"/>
    <w:rsid w:val="44ED7049"/>
    <w:rsid w:val="4529596B"/>
    <w:rsid w:val="45312E6A"/>
    <w:rsid w:val="453721D7"/>
    <w:rsid w:val="453B36F8"/>
    <w:rsid w:val="453E75D7"/>
    <w:rsid w:val="454E5D78"/>
    <w:rsid w:val="4558495F"/>
    <w:rsid w:val="45775497"/>
    <w:rsid w:val="457E3699"/>
    <w:rsid w:val="45840EF4"/>
    <w:rsid w:val="45E61D22"/>
    <w:rsid w:val="45EF50A4"/>
    <w:rsid w:val="460A0420"/>
    <w:rsid w:val="46101BEB"/>
    <w:rsid w:val="46196A16"/>
    <w:rsid w:val="461A580C"/>
    <w:rsid w:val="467263F8"/>
    <w:rsid w:val="467A1579"/>
    <w:rsid w:val="467D6F40"/>
    <w:rsid w:val="46857660"/>
    <w:rsid w:val="46B77493"/>
    <w:rsid w:val="46EB37D9"/>
    <w:rsid w:val="470E4A7E"/>
    <w:rsid w:val="470F23AB"/>
    <w:rsid w:val="47274190"/>
    <w:rsid w:val="473E0507"/>
    <w:rsid w:val="476F7531"/>
    <w:rsid w:val="47D373A2"/>
    <w:rsid w:val="47D568D1"/>
    <w:rsid w:val="47D56C14"/>
    <w:rsid w:val="47DB7C96"/>
    <w:rsid w:val="47DD2E02"/>
    <w:rsid w:val="47FA3F99"/>
    <w:rsid w:val="48186CC8"/>
    <w:rsid w:val="482821A7"/>
    <w:rsid w:val="484E6B7C"/>
    <w:rsid w:val="48693316"/>
    <w:rsid w:val="48741FEF"/>
    <w:rsid w:val="487D111F"/>
    <w:rsid w:val="48802E60"/>
    <w:rsid w:val="488E4FAA"/>
    <w:rsid w:val="489E7F8D"/>
    <w:rsid w:val="48D72D92"/>
    <w:rsid w:val="48F118DA"/>
    <w:rsid w:val="48F47029"/>
    <w:rsid w:val="48F50630"/>
    <w:rsid w:val="49024282"/>
    <w:rsid w:val="491971CD"/>
    <w:rsid w:val="492C7ABE"/>
    <w:rsid w:val="49301BDD"/>
    <w:rsid w:val="49406FC1"/>
    <w:rsid w:val="49457EA6"/>
    <w:rsid w:val="49593179"/>
    <w:rsid w:val="496E4A44"/>
    <w:rsid w:val="496F35F7"/>
    <w:rsid w:val="49701CB1"/>
    <w:rsid w:val="49866A35"/>
    <w:rsid w:val="49900DF4"/>
    <w:rsid w:val="49951494"/>
    <w:rsid w:val="49B85646"/>
    <w:rsid w:val="49CE533D"/>
    <w:rsid w:val="49F303A5"/>
    <w:rsid w:val="4A155BDA"/>
    <w:rsid w:val="4A1A1D8F"/>
    <w:rsid w:val="4A4A0394"/>
    <w:rsid w:val="4A4A1ADF"/>
    <w:rsid w:val="4A4A2FFE"/>
    <w:rsid w:val="4A5A3B77"/>
    <w:rsid w:val="4A6F14DE"/>
    <w:rsid w:val="4A7A5C0C"/>
    <w:rsid w:val="4A8F76B0"/>
    <w:rsid w:val="4AC56C65"/>
    <w:rsid w:val="4AC90EE7"/>
    <w:rsid w:val="4ACD0C2E"/>
    <w:rsid w:val="4ADE1D01"/>
    <w:rsid w:val="4AF03CD7"/>
    <w:rsid w:val="4AF764BD"/>
    <w:rsid w:val="4B343D21"/>
    <w:rsid w:val="4B3959EB"/>
    <w:rsid w:val="4B8B2692"/>
    <w:rsid w:val="4B920BD1"/>
    <w:rsid w:val="4B977F95"/>
    <w:rsid w:val="4BAA29A6"/>
    <w:rsid w:val="4BB122ED"/>
    <w:rsid w:val="4BB733EC"/>
    <w:rsid w:val="4BCF1CD7"/>
    <w:rsid w:val="4BD93354"/>
    <w:rsid w:val="4C0032DC"/>
    <w:rsid w:val="4C1F1DAF"/>
    <w:rsid w:val="4C2E1399"/>
    <w:rsid w:val="4C325EAB"/>
    <w:rsid w:val="4C5B7C2C"/>
    <w:rsid w:val="4C7412FC"/>
    <w:rsid w:val="4C77673B"/>
    <w:rsid w:val="4C94526C"/>
    <w:rsid w:val="4C9D7E5D"/>
    <w:rsid w:val="4CA23645"/>
    <w:rsid w:val="4CB8193D"/>
    <w:rsid w:val="4CBD4127"/>
    <w:rsid w:val="4D0223CC"/>
    <w:rsid w:val="4D2A557C"/>
    <w:rsid w:val="4D343B18"/>
    <w:rsid w:val="4D405769"/>
    <w:rsid w:val="4D4B38E7"/>
    <w:rsid w:val="4DA10A4C"/>
    <w:rsid w:val="4DBC5015"/>
    <w:rsid w:val="4DBD7811"/>
    <w:rsid w:val="4DDC2F0F"/>
    <w:rsid w:val="4DE50869"/>
    <w:rsid w:val="4DF9376D"/>
    <w:rsid w:val="4E2560E2"/>
    <w:rsid w:val="4E395CCC"/>
    <w:rsid w:val="4E514712"/>
    <w:rsid w:val="4E537E9A"/>
    <w:rsid w:val="4E670EC1"/>
    <w:rsid w:val="4E843B53"/>
    <w:rsid w:val="4E8608C2"/>
    <w:rsid w:val="4E8C55EC"/>
    <w:rsid w:val="4EA527EC"/>
    <w:rsid w:val="4EDB6EAA"/>
    <w:rsid w:val="4EF159E9"/>
    <w:rsid w:val="4F1A2FE5"/>
    <w:rsid w:val="4F4D419E"/>
    <w:rsid w:val="4F627AEE"/>
    <w:rsid w:val="4F6A68E6"/>
    <w:rsid w:val="4F746A59"/>
    <w:rsid w:val="4F9346B1"/>
    <w:rsid w:val="4FD2350C"/>
    <w:rsid w:val="4FE50F2F"/>
    <w:rsid w:val="4FEA4753"/>
    <w:rsid w:val="504B693D"/>
    <w:rsid w:val="50575540"/>
    <w:rsid w:val="50582BE6"/>
    <w:rsid w:val="507C6D2D"/>
    <w:rsid w:val="507F4155"/>
    <w:rsid w:val="50824B78"/>
    <w:rsid w:val="508F0AAC"/>
    <w:rsid w:val="50CD739A"/>
    <w:rsid w:val="50DC38D0"/>
    <w:rsid w:val="50FE213E"/>
    <w:rsid w:val="51037F0A"/>
    <w:rsid w:val="511F3972"/>
    <w:rsid w:val="51337EA3"/>
    <w:rsid w:val="513A36F2"/>
    <w:rsid w:val="51450AC9"/>
    <w:rsid w:val="514D4707"/>
    <w:rsid w:val="515B7EC3"/>
    <w:rsid w:val="515D7E48"/>
    <w:rsid w:val="516610B7"/>
    <w:rsid w:val="51756077"/>
    <w:rsid w:val="51862D94"/>
    <w:rsid w:val="519658DD"/>
    <w:rsid w:val="51986B95"/>
    <w:rsid w:val="5199639C"/>
    <w:rsid w:val="519E2CCF"/>
    <w:rsid w:val="51AC2680"/>
    <w:rsid w:val="51BC2409"/>
    <w:rsid w:val="51C474CC"/>
    <w:rsid w:val="51C55364"/>
    <w:rsid w:val="51CE6236"/>
    <w:rsid w:val="51D011AC"/>
    <w:rsid w:val="52065BDC"/>
    <w:rsid w:val="5237174D"/>
    <w:rsid w:val="52433DA9"/>
    <w:rsid w:val="52506E43"/>
    <w:rsid w:val="52541409"/>
    <w:rsid w:val="52825B1B"/>
    <w:rsid w:val="52A20EA4"/>
    <w:rsid w:val="52B6717C"/>
    <w:rsid w:val="52D02D95"/>
    <w:rsid w:val="52DC70B8"/>
    <w:rsid w:val="52F0178B"/>
    <w:rsid w:val="52F02399"/>
    <w:rsid w:val="53441C42"/>
    <w:rsid w:val="536721A2"/>
    <w:rsid w:val="53B24F78"/>
    <w:rsid w:val="53B61720"/>
    <w:rsid w:val="53BB63BB"/>
    <w:rsid w:val="53D02FDC"/>
    <w:rsid w:val="53D57469"/>
    <w:rsid w:val="53DB5FC3"/>
    <w:rsid w:val="53E31820"/>
    <w:rsid w:val="53F31A37"/>
    <w:rsid w:val="541F461B"/>
    <w:rsid w:val="5424507B"/>
    <w:rsid w:val="542D0DC1"/>
    <w:rsid w:val="548B7DA8"/>
    <w:rsid w:val="54AB3FF6"/>
    <w:rsid w:val="54CD25C0"/>
    <w:rsid w:val="54D151F7"/>
    <w:rsid w:val="54DE4791"/>
    <w:rsid w:val="550A72C5"/>
    <w:rsid w:val="55120FB8"/>
    <w:rsid w:val="55302A1A"/>
    <w:rsid w:val="55364FDF"/>
    <w:rsid w:val="557C157E"/>
    <w:rsid w:val="55851A58"/>
    <w:rsid w:val="55AF533F"/>
    <w:rsid w:val="55BB0A3D"/>
    <w:rsid w:val="55C335C4"/>
    <w:rsid w:val="55FB3240"/>
    <w:rsid w:val="5614775B"/>
    <w:rsid w:val="562E1193"/>
    <w:rsid w:val="56303B27"/>
    <w:rsid w:val="5635322E"/>
    <w:rsid w:val="564422E1"/>
    <w:rsid w:val="56496D3D"/>
    <w:rsid w:val="56540115"/>
    <w:rsid w:val="566E580A"/>
    <w:rsid w:val="56765AF4"/>
    <w:rsid w:val="56B71485"/>
    <w:rsid w:val="56EF3E3A"/>
    <w:rsid w:val="57100009"/>
    <w:rsid w:val="57187FE7"/>
    <w:rsid w:val="57205C3A"/>
    <w:rsid w:val="57525A24"/>
    <w:rsid w:val="57600A18"/>
    <w:rsid w:val="5795526B"/>
    <w:rsid w:val="57EC6A6F"/>
    <w:rsid w:val="57F14CF6"/>
    <w:rsid w:val="581036C2"/>
    <w:rsid w:val="58107AD6"/>
    <w:rsid w:val="583122EB"/>
    <w:rsid w:val="58343C9B"/>
    <w:rsid w:val="583D1C80"/>
    <w:rsid w:val="58451104"/>
    <w:rsid w:val="58500FC7"/>
    <w:rsid w:val="58581431"/>
    <w:rsid w:val="58596281"/>
    <w:rsid w:val="585B4AF5"/>
    <w:rsid w:val="585F35E9"/>
    <w:rsid w:val="58667621"/>
    <w:rsid w:val="586A3DED"/>
    <w:rsid w:val="58776ABE"/>
    <w:rsid w:val="587D3C8B"/>
    <w:rsid w:val="58956CAE"/>
    <w:rsid w:val="58E04E67"/>
    <w:rsid w:val="58ED38EB"/>
    <w:rsid w:val="58F23853"/>
    <w:rsid w:val="58FD39A3"/>
    <w:rsid w:val="59061BFF"/>
    <w:rsid w:val="59111A46"/>
    <w:rsid w:val="59372200"/>
    <w:rsid w:val="594A3628"/>
    <w:rsid w:val="595D107A"/>
    <w:rsid w:val="596525B8"/>
    <w:rsid w:val="597361A2"/>
    <w:rsid w:val="59806662"/>
    <w:rsid w:val="59844482"/>
    <w:rsid w:val="59861B7A"/>
    <w:rsid w:val="59A139ED"/>
    <w:rsid w:val="59AD415E"/>
    <w:rsid w:val="59B86E65"/>
    <w:rsid w:val="59CB12EF"/>
    <w:rsid w:val="59DB02EE"/>
    <w:rsid w:val="59F46CB0"/>
    <w:rsid w:val="59FC3F76"/>
    <w:rsid w:val="5A0F0CF8"/>
    <w:rsid w:val="5A1A0670"/>
    <w:rsid w:val="5A336481"/>
    <w:rsid w:val="5A764B77"/>
    <w:rsid w:val="5A7C49D3"/>
    <w:rsid w:val="5A852879"/>
    <w:rsid w:val="5A98403D"/>
    <w:rsid w:val="5AB36BF6"/>
    <w:rsid w:val="5AB51637"/>
    <w:rsid w:val="5AD366DC"/>
    <w:rsid w:val="5B0141F2"/>
    <w:rsid w:val="5B0E1CFC"/>
    <w:rsid w:val="5B1B17F8"/>
    <w:rsid w:val="5B5778FC"/>
    <w:rsid w:val="5B5C6A3D"/>
    <w:rsid w:val="5B632414"/>
    <w:rsid w:val="5B664341"/>
    <w:rsid w:val="5B760F19"/>
    <w:rsid w:val="5B8B1350"/>
    <w:rsid w:val="5BBF74BC"/>
    <w:rsid w:val="5BC10DA5"/>
    <w:rsid w:val="5BCB35CE"/>
    <w:rsid w:val="5BD72B68"/>
    <w:rsid w:val="5BE903B7"/>
    <w:rsid w:val="5BED6D0D"/>
    <w:rsid w:val="5C0841BC"/>
    <w:rsid w:val="5C290CF7"/>
    <w:rsid w:val="5C301F73"/>
    <w:rsid w:val="5C9D27A8"/>
    <w:rsid w:val="5C9E690F"/>
    <w:rsid w:val="5CC06281"/>
    <w:rsid w:val="5CC564CE"/>
    <w:rsid w:val="5CF01795"/>
    <w:rsid w:val="5CF13AAF"/>
    <w:rsid w:val="5D0E276B"/>
    <w:rsid w:val="5D191600"/>
    <w:rsid w:val="5D1B0F92"/>
    <w:rsid w:val="5D1D6AF2"/>
    <w:rsid w:val="5D204F0F"/>
    <w:rsid w:val="5D5B17BF"/>
    <w:rsid w:val="5D612B4F"/>
    <w:rsid w:val="5D7F3085"/>
    <w:rsid w:val="5D823668"/>
    <w:rsid w:val="5DBA56F2"/>
    <w:rsid w:val="5DC91BD0"/>
    <w:rsid w:val="5DDA10DC"/>
    <w:rsid w:val="5DDD462E"/>
    <w:rsid w:val="5DE41CD3"/>
    <w:rsid w:val="5DF3033F"/>
    <w:rsid w:val="5DFB28EC"/>
    <w:rsid w:val="5E1A2B91"/>
    <w:rsid w:val="5E215573"/>
    <w:rsid w:val="5E452EF3"/>
    <w:rsid w:val="5E49785A"/>
    <w:rsid w:val="5E577B04"/>
    <w:rsid w:val="5E5F54E5"/>
    <w:rsid w:val="5E7F4ADA"/>
    <w:rsid w:val="5EA62E7A"/>
    <w:rsid w:val="5ECC54BB"/>
    <w:rsid w:val="5ED1418D"/>
    <w:rsid w:val="5EDA66BF"/>
    <w:rsid w:val="5EF87E16"/>
    <w:rsid w:val="5F1965E8"/>
    <w:rsid w:val="5F4F287E"/>
    <w:rsid w:val="5F7A7F20"/>
    <w:rsid w:val="5F845476"/>
    <w:rsid w:val="5F8A5E5E"/>
    <w:rsid w:val="5F9228EE"/>
    <w:rsid w:val="5FD02AAE"/>
    <w:rsid w:val="5FE235FD"/>
    <w:rsid w:val="60034D08"/>
    <w:rsid w:val="60233356"/>
    <w:rsid w:val="603E5900"/>
    <w:rsid w:val="60562FC6"/>
    <w:rsid w:val="60563A62"/>
    <w:rsid w:val="60590A7D"/>
    <w:rsid w:val="608154C0"/>
    <w:rsid w:val="60A70F8F"/>
    <w:rsid w:val="60BD7C03"/>
    <w:rsid w:val="60D50DFC"/>
    <w:rsid w:val="60FF0DDA"/>
    <w:rsid w:val="611E54E6"/>
    <w:rsid w:val="6143345B"/>
    <w:rsid w:val="614E6C53"/>
    <w:rsid w:val="615F3A1A"/>
    <w:rsid w:val="616B6174"/>
    <w:rsid w:val="617256B4"/>
    <w:rsid w:val="61A20732"/>
    <w:rsid w:val="61A25520"/>
    <w:rsid w:val="61AE56AF"/>
    <w:rsid w:val="61B503C9"/>
    <w:rsid w:val="61BC252B"/>
    <w:rsid w:val="61CF502F"/>
    <w:rsid w:val="61EA0D51"/>
    <w:rsid w:val="61F30079"/>
    <w:rsid w:val="61F33450"/>
    <w:rsid w:val="62167482"/>
    <w:rsid w:val="6218293E"/>
    <w:rsid w:val="622032DE"/>
    <w:rsid w:val="62396E64"/>
    <w:rsid w:val="623E283F"/>
    <w:rsid w:val="62455BD7"/>
    <w:rsid w:val="62656433"/>
    <w:rsid w:val="62717173"/>
    <w:rsid w:val="628701A5"/>
    <w:rsid w:val="628B725A"/>
    <w:rsid w:val="62943198"/>
    <w:rsid w:val="62A37EB3"/>
    <w:rsid w:val="62BF0B8F"/>
    <w:rsid w:val="62D13013"/>
    <w:rsid w:val="62F97866"/>
    <w:rsid w:val="6308059F"/>
    <w:rsid w:val="630A5B1E"/>
    <w:rsid w:val="633A63BB"/>
    <w:rsid w:val="63506784"/>
    <w:rsid w:val="635479D9"/>
    <w:rsid w:val="636C00E5"/>
    <w:rsid w:val="6379276E"/>
    <w:rsid w:val="637D2D56"/>
    <w:rsid w:val="6387436B"/>
    <w:rsid w:val="63CC3A17"/>
    <w:rsid w:val="63DB08E2"/>
    <w:rsid w:val="63E749FD"/>
    <w:rsid w:val="63EE320E"/>
    <w:rsid w:val="63EF5BB2"/>
    <w:rsid w:val="63FF639F"/>
    <w:rsid w:val="641B4B01"/>
    <w:rsid w:val="64217D01"/>
    <w:rsid w:val="642B7C88"/>
    <w:rsid w:val="64310676"/>
    <w:rsid w:val="64336052"/>
    <w:rsid w:val="643475DC"/>
    <w:rsid w:val="643F5DAE"/>
    <w:rsid w:val="646A6DFD"/>
    <w:rsid w:val="646C3614"/>
    <w:rsid w:val="64711508"/>
    <w:rsid w:val="64A42DEA"/>
    <w:rsid w:val="64E12423"/>
    <w:rsid w:val="65082DD4"/>
    <w:rsid w:val="650E69DF"/>
    <w:rsid w:val="652B17F5"/>
    <w:rsid w:val="652C500A"/>
    <w:rsid w:val="6535060B"/>
    <w:rsid w:val="654344D8"/>
    <w:rsid w:val="65745436"/>
    <w:rsid w:val="65986078"/>
    <w:rsid w:val="65A24C17"/>
    <w:rsid w:val="65A95FB3"/>
    <w:rsid w:val="65C55F3E"/>
    <w:rsid w:val="65FD7D01"/>
    <w:rsid w:val="66074E9E"/>
    <w:rsid w:val="662A323B"/>
    <w:rsid w:val="662E5628"/>
    <w:rsid w:val="6649083A"/>
    <w:rsid w:val="666D6758"/>
    <w:rsid w:val="6675734B"/>
    <w:rsid w:val="6685416D"/>
    <w:rsid w:val="66880FB7"/>
    <w:rsid w:val="66A6228B"/>
    <w:rsid w:val="66EC0FA2"/>
    <w:rsid w:val="670758A9"/>
    <w:rsid w:val="670868E6"/>
    <w:rsid w:val="67097F2A"/>
    <w:rsid w:val="673A00BB"/>
    <w:rsid w:val="67806110"/>
    <w:rsid w:val="679552D6"/>
    <w:rsid w:val="67A55390"/>
    <w:rsid w:val="67A627CE"/>
    <w:rsid w:val="67AB1333"/>
    <w:rsid w:val="67C06F3D"/>
    <w:rsid w:val="67D67ACB"/>
    <w:rsid w:val="67DF1D55"/>
    <w:rsid w:val="67EE5F1E"/>
    <w:rsid w:val="67EF53A7"/>
    <w:rsid w:val="681B4A80"/>
    <w:rsid w:val="681D0D50"/>
    <w:rsid w:val="683A1A7E"/>
    <w:rsid w:val="686306AD"/>
    <w:rsid w:val="68903F0A"/>
    <w:rsid w:val="68A20DF6"/>
    <w:rsid w:val="68A41013"/>
    <w:rsid w:val="68AC76C4"/>
    <w:rsid w:val="68B55D92"/>
    <w:rsid w:val="68BC2586"/>
    <w:rsid w:val="68DB4B55"/>
    <w:rsid w:val="68E84A2A"/>
    <w:rsid w:val="68EA0ED1"/>
    <w:rsid w:val="68FB479D"/>
    <w:rsid w:val="69025093"/>
    <w:rsid w:val="6922669D"/>
    <w:rsid w:val="69253A1C"/>
    <w:rsid w:val="693E2E44"/>
    <w:rsid w:val="69497D13"/>
    <w:rsid w:val="69504E97"/>
    <w:rsid w:val="69565B74"/>
    <w:rsid w:val="69860ECD"/>
    <w:rsid w:val="699D5FCB"/>
    <w:rsid w:val="699E1EAF"/>
    <w:rsid w:val="69A71AB5"/>
    <w:rsid w:val="69B34317"/>
    <w:rsid w:val="69DA102A"/>
    <w:rsid w:val="69ED05BC"/>
    <w:rsid w:val="69F72763"/>
    <w:rsid w:val="69F727F4"/>
    <w:rsid w:val="6A030C3E"/>
    <w:rsid w:val="6A040FE8"/>
    <w:rsid w:val="6A0F0F77"/>
    <w:rsid w:val="6A10742A"/>
    <w:rsid w:val="6A12493E"/>
    <w:rsid w:val="6A2955D3"/>
    <w:rsid w:val="6A3069DA"/>
    <w:rsid w:val="6A5E61F0"/>
    <w:rsid w:val="6A6F6736"/>
    <w:rsid w:val="6A904E38"/>
    <w:rsid w:val="6A957284"/>
    <w:rsid w:val="6AA17E00"/>
    <w:rsid w:val="6AAF3455"/>
    <w:rsid w:val="6AD00EA2"/>
    <w:rsid w:val="6ADA35FC"/>
    <w:rsid w:val="6AE07624"/>
    <w:rsid w:val="6AE7318C"/>
    <w:rsid w:val="6AE83F6E"/>
    <w:rsid w:val="6AF31C2A"/>
    <w:rsid w:val="6AF94CA1"/>
    <w:rsid w:val="6AFE6505"/>
    <w:rsid w:val="6B07198D"/>
    <w:rsid w:val="6B573B57"/>
    <w:rsid w:val="6B675DB2"/>
    <w:rsid w:val="6B7D3862"/>
    <w:rsid w:val="6BD86973"/>
    <w:rsid w:val="6BEC4E14"/>
    <w:rsid w:val="6C0A456C"/>
    <w:rsid w:val="6C3907DD"/>
    <w:rsid w:val="6C5D594A"/>
    <w:rsid w:val="6C616140"/>
    <w:rsid w:val="6C6E3D9A"/>
    <w:rsid w:val="6C7E6458"/>
    <w:rsid w:val="6C966075"/>
    <w:rsid w:val="6C98221D"/>
    <w:rsid w:val="6CC05A10"/>
    <w:rsid w:val="6CE13164"/>
    <w:rsid w:val="6D1A039E"/>
    <w:rsid w:val="6D334651"/>
    <w:rsid w:val="6D3B0F87"/>
    <w:rsid w:val="6D576F1D"/>
    <w:rsid w:val="6D6677BF"/>
    <w:rsid w:val="6D766C00"/>
    <w:rsid w:val="6D792634"/>
    <w:rsid w:val="6DB223B0"/>
    <w:rsid w:val="6DBA4D70"/>
    <w:rsid w:val="6DBA78FE"/>
    <w:rsid w:val="6E2F61E7"/>
    <w:rsid w:val="6E340839"/>
    <w:rsid w:val="6E4522F0"/>
    <w:rsid w:val="6EA80404"/>
    <w:rsid w:val="6EAB7D46"/>
    <w:rsid w:val="6EAC3203"/>
    <w:rsid w:val="6EBB3B3C"/>
    <w:rsid w:val="6F0E034A"/>
    <w:rsid w:val="6F590C57"/>
    <w:rsid w:val="6F6165F7"/>
    <w:rsid w:val="6F7160E4"/>
    <w:rsid w:val="6F8306AD"/>
    <w:rsid w:val="6F834596"/>
    <w:rsid w:val="6F954F97"/>
    <w:rsid w:val="6FA50E01"/>
    <w:rsid w:val="6FB93070"/>
    <w:rsid w:val="6FF42F98"/>
    <w:rsid w:val="70015CC7"/>
    <w:rsid w:val="7012118C"/>
    <w:rsid w:val="70163922"/>
    <w:rsid w:val="70505825"/>
    <w:rsid w:val="70733015"/>
    <w:rsid w:val="707E7CEC"/>
    <w:rsid w:val="708B6CF7"/>
    <w:rsid w:val="709E5EA5"/>
    <w:rsid w:val="70A679E4"/>
    <w:rsid w:val="70DC2B41"/>
    <w:rsid w:val="70DF2AB0"/>
    <w:rsid w:val="70E43DF9"/>
    <w:rsid w:val="70E752FA"/>
    <w:rsid w:val="70F33862"/>
    <w:rsid w:val="71292964"/>
    <w:rsid w:val="712E0DB1"/>
    <w:rsid w:val="71363750"/>
    <w:rsid w:val="714A2212"/>
    <w:rsid w:val="716A4120"/>
    <w:rsid w:val="71812B04"/>
    <w:rsid w:val="71B06045"/>
    <w:rsid w:val="71BA39D7"/>
    <w:rsid w:val="71E84820"/>
    <w:rsid w:val="71E85266"/>
    <w:rsid w:val="72021480"/>
    <w:rsid w:val="720B22BF"/>
    <w:rsid w:val="721148E6"/>
    <w:rsid w:val="721475DD"/>
    <w:rsid w:val="72396872"/>
    <w:rsid w:val="724D677B"/>
    <w:rsid w:val="726D5581"/>
    <w:rsid w:val="7292338D"/>
    <w:rsid w:val="72B12560"/>
    <w:rsid w:val="72B53BC3"/>
    <w:rsid w:val="72DC1F49"/>
    <w:rsid w:val="72F35E1E"/>
    <w:rsid w:val="72FB228C"/>
    <w:rsid w:val="730A5639"/>
    <w:rsid w:val="73152A52"/>
    <w:rsid w:val="73254D75"/>
    <w:rsid w:val="733F4D35"/>
    <w:rsid w:val="735B450B"/>
    <w:rsid w:val="736A04D9"/>
    <w:rsid w:val="738549F4"/>
    <w:rsid w:val="738F6D79"/>
    <w:rsid w:val="73936016"/>
    <w:rsid w:val="739734ED"/>
    <w:rsid w:val="739805A5"/>
    <w:rsid w:val="73A66B67"/>
    <w:rsid w:val="73B424C9"/>
    <w:rsid w:val="73B822F7"/>
    <w:rsid w:val="73C0251A"/>
    <w:rsid w:val="740335C7"/>
    <w:rsid w:val="74043AB2"/>
    <w:rsid w:val="74194094"/>
    <w:rsid w:val="74310507"/>
    <w:rsid w:val="743E6F62"/>
    <w:rsid w:val="744C2844"/>
    <w:rsid w:val="744C5115"/>
    <w:rsid w:val="744E12FF"/>
    <w:rsid w:val="745B2468"/>
    <w:rsid w:val="746C7C13"/>
    <w:rsid w:val="74827F1B"/>
    <w:rsid w:val="74B801DB"/>
    <w:rsid w:val="74BB1AE3"/>
    <w:rsid w:val="74BE22EA"/>
    <w:rsid w:val="751A7ACF"/>
    <w:rsid w:val="752E298E"/>
    <w:rsid w:val="75350133"/>
    <w:rsid w:val="75525607"/>
    <w:rsid w:val="75660632"/>
    <w:rsid w:val="75790DC0"/>
    <w:rsid w:val="757E796F"/>
    <w:rsid w:val="75967195"/>
    <w:rsid w:val="75AD4CBE"/>
    <w:rsid w:val="75BF3A45"/>
    <w:rsid w:val="75E755EE"/>
    <w:rsid w:val="760179EA"/>
    <w:rsid w:val="760F2077"/>
    <w:rsid w:val="766D13A1"/>
    <w:rsid w:val="76AD3145"/>
    <w:rsid w:val="76D572E6"/>
    <w:rsid w:val="76DF42AF"/>
    <w:rsid w:val="76E16E55"/>
    <w:rsid w:val="76E73A8B"/>
    <w:rsid w:val="76EB6D21"/>
    <w:rsid w:val="77070C78"/>
    <w:rsid w:val="77110910"/>
    <w:rsid w:val="77234D14"/>
    <w:rsid w:val="7736570D"/>
    <w:rsid w:val="774F40E9"/>
    <w:rsid w:val="77572E04"/>
    <w:rsid w:val="775A394F"/>
    <w:rsid w:val="7764105E"/>
    <w:rsid w:val="776E3576"/>
    <w:rsid w:val="776E3DCD"/>
    <w:rsid w:val="77820A10"/>
    <w:rsid w:val="779A5F80"/>
    <w:rsid w:val="77AD2533"/>
    <w:rsid w:val="77E71520"/>
    <w:rsid w:val="77E87885"/>
    <w:rsid w:val="78117918"/>
    <w:rsid w:val="78200F60"/>
    <w:rsid w:val="78235DC9"/>
    <w:rsid w:val="78334AEC"/>
    <w:rsid w:val="78403A2B"/>
    <w:rsid w:val="78425FA5"/>
    <w:rsid w:val="78690C71"/>
    <w:rsid w:val="78856853"/>
    <w:rsid w:val="78910311"/>
    <w:rsid w:val="78C11BF8"/>
    <w:rsid w:val="78F6464B"/>
    <w:rsid w:val="79381553"/>
    <w:rsid w:val="793A578D"/>
    <w:rsid w:val="794B3368"/>
    <w:rsid w:val="794E2558"/>
    <w:rsid w:val="79590F72"/>
    <w:rsid w:val="795E538B"/>
    <w:rsid w:val="79673F46"/>
    <w:rsid w:val="796B7E19"/>
    <w:rsid w:val="79A4117B"/>
    <w:rsid w:val="79A95201"/>
    <w:rsid w:val="79B55881"/>
    <w:rsid w:val="79D13649"/>
    <w:rsid w:val="79EC5C09"/>
    <w:rsid w:val="79F81044"/>
    <w:rsid w:val="79FC2279"/>
    <w:rsid w:val="7A122AB3"/>
    <w:rsid w:val="7A171389"/>
    <w:rsid w:val="7A36404A"/>
    <w:rsid w:val="7A3B32D4"/>
    <w:rsid w:val="7A494103"/>
    <w:rsid w:val="7A6F35DF"/>
    <w:rsid w:val="7A75278C"/>
    <w:rsid w:val="7A9F3C5B"/>
    <w:rsid w:val="7AB15272"/>
    <w:rsid w:val="7AB26C25"/>
    <w:rsid w:val="7AED551B"/>
    <w:rsid w:val="7AF10AB5"/>
    <w:rsid w:val="7B217DEF"/>
    <w:rsid w:val="7B3C494F"/>
    <w:rsid w:val="7B41631C"/>
    <w:rsid w:val="7B485786"/>
    <w:rsid w:val="7B6D72E4"/>
    <w:rsid w:val="7B7F7CB5"/>
    <w:rsid w:val="7BA84412"/>
    <w:rsid w:val="7BAF1EA6"/>
    <w:rsid w:val="7BC73EB2"/>
    <w:rsid w:val="7C170EB6"/>
    <w:rsid w:val="7C205B93"/>
    <w:rsid w:val="7C29610C"/>
    <w:rsid w:val="7C2D355E"/>
    <w:rsid w:val="7C69240D"/>
    <w:rsid w:val="7C6F5F6F"/>
    <w:rsid w:val="7C985E3A"/>
    <w:rsid w:val="7C9B1FDC"/>
    <w:rsid w:val="7C9F6B23"/>
    <w:rsid w:val="7CA94FA8"/>
    <w:rsid w:val="7CB52D38"/>
    <w:rsid w:val="7CD46468"/>
    <w:rsid w:val="7CDF2476"/>
    <w:rsid w:val="7CEB0145"/>
    <w:rsid w:val="7CEF2EDE"/>
    <w:rsid w:val="7CF864DA"/>
    <w:rsid w:val="7D0A3C61"/>
    <w:rsid w:val="7D0E55F1"/>
    <w:rsid w:val="7D141949"/>
    <w:rsid w:val="7D2A6543"/>
    <w:rsid w:val="7D3F4554"/>
    <w:rsid w:val="7D5A3282"/>
    <w:rsid w:val="7DAA3122"/>
    <w:rsid w:val="7E186D9F"/>
    <w:rsid w:val="7E33778A"/>
    <w:rsid w:val="7E5000E5"/>
    <w:rsid w:val="7E5379AC"/>
    <w:rsid w:val="7E647045"/>
    <w:rsid w:val="7E6D2686"/>
    <w:rsid w:val="7E700C01"/>
    <w:rsid w:val="7E836F95"/>
    <w:rsid w:val="7E906BA1"/>
    <w:rsid w:val="7EB925ED"/>
    <w:rsid w:val="7EC65B5C"/>
    <w:rsid w:val="7ECD7E44"/>
    <w:rsid w:val="7ED25552"/>
    <w:rsid w:val="7ED96E4D"/>
    <w:rsid w:val="7F110F5D"/>
    <w:rsid w:val="7F1933A9"/>
    <w:rsid w:val="7F1F0030"/>
    <w:rsid w:val="7F521011"/>
    <w:rsid w:val="7F8519C2"/>
    <w:rsid w:val="7F8C0ECB"/>
    <w:rsid w:val="7F926ED9"/>
    <w:rsid w:val="7F936EA0"/>
    <w:rsid w:val="7FA512E4"/>
    <w:rsid w:val="7FB03FE5"/>
    <w:rsid w:val="7FB87147"/>
    <w:rsid w:val="7FC07F80"/>
    <w:rsid w:val="7FC7174B"/>
    <w:rsid w:val="7FDF2B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nhideWhenUsed="0" w:uiPriority="0" w:semiHidden="0" w:name="Normal (Web)"/>
    <w:lsdException w:unhideWhenUsed="0" w:uiPriority="0" w:semiHidden="0" w:name="HTML Acronym"/>
    <w:lsdException w:qFormat="1"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0"/>
    <w:qFormat/>
    <w:uiPriority w:val="0"/>
    <w:pPr>
      <w:keepNext/>
      <w:jc w:val="center"/>
      <w:outlineLvl w:val="0"/>
    </w:pPr>
    <w:rPr>
      <w:rFonts w:eastAsia="仿宋_GB2312"/>
      <w:sz w:val="28"/>
    </w:rPr>
  </w:style>
  <w:style w:type="paragraph" w:styleId="4">
    <w:name w:val="heading 2"/>
    <w:basedOn w:val="1"/>
    <w:next w:val="1"/>
    <w:link w:val="10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02"/>
    <w:qFormat/>
    <w:uiPriority w:val="0"/>
    <w:pPr>
      <w:keepNext/>
      <w:keepLines/>
      <w:spacing w:before="260" w:after="260" w:line="416" w:lineRule="auto"/>
      <w:outlineLvl w:val="2"/>
    </w:pPr>
    <w:rPr>
      <w:b/>
      <w:bCs/>
      <w:sz w:val="32"/>
      <w:szCs w:val="32"/>
    </w:rPr>
  </w:style>
  <w:style w:type="paragraph" w:styleId="6">
    <w:name w:val="heading 4"/>
    <w:basedOn w:val="1"/>
    <w:next w:val="1"/>
    <w:link w:val="103"/>
    <w:qFormat/>
    <w:uiPriority w:val="0"/>
    <w:pPr>
      <w:keepNext/>
      <w:keepLines/>
      <w:adjustRightInd w:val="0"/>
      <w:spacing w:before="280" w:after="290" w:line="376" w:lineRule="atLeast"/>
      <w:textAlignment w:val="baseline"/>
      <w:outlineLvl w:val="3"/>
    </w:pPr>
    <w:rPr>
      <w:rFonts w:ascii="Arial" w:hAnsi="Arial" w:eastAsia="黑体"/>
      <w:b/>
      <w:sz w:val="28"/>
      <w:szCs w:val="20"/>
    </w:rPr>
  </w:style>
  <w:style w:type="paragraph" w:styleId="7">
    <w:name w:val="heading 5"/>
    <w:basedOn w:val="1"/>
    <w:next w:val="1"/>
    <w:link w:val="10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0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06"/>
    <w:qFormat/>
    <w:uiPriority w:val="0"/>
    <w:pPr>
      <w:keepNext/>
      <w:keepLines/>
      <w:spacing w:before="240" w:after="64" w:line="320" w:lineRule="auto"/>
      <w:outlineLvl w:val="6"/>
    </w:pPr>
    <w:rPr>
      <w:b/>
      <w:bCs/>
      <w:sz w:val="24"/>
    </w:rPr>
  </w:style>
  <w:style w:type="paragraph" w:styleId="10">
    <w:name w:val="heading 8"/>
    <w:basedOn w:val="1"/>
    <w:next w:val="1"/>
    <w:link w:val="10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0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1">
    <w:name w:val="Default Paragraph Font"/>
    <w:unhideWhenUsed/>
    <w:uiPriority w:val="1"/>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macro"/>
    <w:link w:val="99"/>
    <w:unhideWhenUsed/>
    <w:qFormat/>
    <w:uiPriority w:val="0"/>
    <w:pPr>
      <w:tabs>
        <w:tab w:val="left" w:pos="480"/>
        <w:tab w:val="left" w:pos="960"/>
        <w:tab w:val="left" w:pos="1440"/>
        <w:tab w:val="left" w:pos="1920"/>
        <w:tab w:val="left" w:pos="2400"/>
        <w:tab w:val="left" w:pos="2880"/>
        <w:tab w:val="left" w:pos="3360"/>
        <w:tab w:val="left" w:pos="3840"/>
        <w:tab w:val="left" w:pos="4320"/>
      </w:tabs>
      <w:autoSpaceDN w:val="0"/>
    </w:pPr>
    <w:rPr>
      <w:rFonts w:ascii="Courier New" w:hAnsi="Courier New" w:eastAsia="等线" w:cs="Courier New"/>
      <w:lang w:val="en-US" w:eastAsia="en-US" w:bidi="ar-SA"/>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0"/>
    <w:pPr>
      <w:ind w:left="1260"/>
      <w:jc w:val="left"/>
    </w:pPr>
    <w:rPr>
      <w:sz w:val="18"/>
      <w:szCs w:val="20"/>
    </w:rPr>
  </w:style>
  <w:style w:type="paragraph" w:styleId="14">
    <w:name w:val="List Number 2"/>
    <w:basedOn w:val="1"/>
    <w:unhideWhenUsed/>
    <w:qFormat/>
    <w:uiPriority w:val="0"/>
    <w:pPr>
      <w:widowControl/>
      <w:numPr>
        <w:ilvl w:val="0"/>
        <w:numId w:val="1"/>
      </w:numPr>
      <w:tabs>
        <w:tab w:val="left" w:pos="360"/>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15">
    <w:name w:val="table of authorities"/>
    <w:basedOn w:val="1"/>
    <w:next w:val="1"/>
    <w:unhideWhenUsed/>
    <w:qFormat/>
    <w:uiPriority w:val="0"/>
    <w:pPr>
      <w:widowControl/>
      <w:autoSpaceDN w:val="0"/>
      <w:spacing w:after="120"/>
      <w:ind w:left="220" w:hanging="220"/>
    </w:pPr>
    <w:rPr>
      <w:rFonts w:eastAsia="等线"/>
      <w:kern w:val="0"/>
      <w:sz w:val="22"/>
      <w:lang w:eastAsia="en-US"/>
    </w:rPr>
  </w:style>
  <w:style w:type="paragraph" w:styleId="16">
    <w:name w:val="Note Heading"/>
    <w:basedOn w:val="1"/>
    <w:next w:val="1"/>
    <w:link w:val="109"/>
    <w:unhideWhenUsed/>
    <w:qFormat/>
    <w:uiPriority w:val="0"/>
    <w:pPr>
      <w:widowControl/>
      <w:autoSpaceDN w:val="0"/>
      <w:spacing w:after="120"/>
    </w:pPr>
    <w:rPr>
      <w:rFonts w:eastAsia="等线" w:cs="Times New Roman"/>
      <w:kern w:val="0"/>
      <w:sz w:val="22"/>
      <w:lang w:eastAsia="en-US"/>
    </w:rPr>
  </w:style>
  <w:style w:type="paragraph" w:styleId="17">
    <w:name w:val="List Bullet 4"/>
    <w:basedOn w:val="1"/>
    <w:unhideWhenUsed/>
    <w:qFormat/>
    <w:uiPriority w:val="0"/>
    <w:pPr>
      <w:widowControl/>
      <w:numPr>
        <w:ilvl w:val="0"/>
        <w:numId w:val="2"/>
      </w:numPr>
      <w:tabs>
        <w:tab w:val="left" w:pos="360"/>
        <w:tab w:val="clear" w:pos="1440"/>
      </w:tabs>
      <w:autoSpaceDN w:val="0"/>
      <w:spacing w:before="120" w:after="120"/>
      <w:ind w:left="0" w:firstLine="0"/>
    </w:pPr>
    <w:rPr>
      <w:rFonts w:ascii="Futura Lt BT" w:hAnsi="Futura Lt BT" w:eastAsia="等线"/>
      <w:spacing w:val="-6"/>
      <w:kern w:val="0"/>
      <w:sz w:val="20"/>
      <w:lang w:val="en-CA" w:eastAsia="en-US"/>
    </w:rPr>
  </w:style>
  <w:style w:type="paragraph" w:styleId="18">
    <w:name w:val="index 8"/>
    <w:basedOn w:val="1"/>
    <w:next w:val="1"/>
    <w:unhideWhenUsed/>
    <w:qFormat/>
    <w:uiPriority w:val="0"/>
    <w:pPr>
      <w:widowControl/>
      <w:autoSpaceDN w:val="0"/>
      <w:spacing w:after="120"/>
      <w:ind w:left="1760" w:hanging="220"/>
    </w:pPr>
    <w:rPr>
      <w:rFonts w:eastAsia="等线"/>
      <w:kern w:val="0"/>
      <w:sz w:val="22"/>
      <w:lang w:eastAsia="en-US"/>
    </w:rPr>
  </w:style>
  <w:style w:type="paragraph" w:styleId="19">
    <w:name w:val="E-mail Signature"/>
    <w:basedOn w:val="1"/>
    <w:link w:val="110"/>
    <w:unhideWhenUsed/>
    <w:qFormat/>
    <w:uiPriority w:val="0"/>
    <w:pPr>
      <w:widowControl/>
      <w:autoSpaceDN w:val="0"/>
      <w:spacing w:after="120"/>
    </w:pPr>
    <w:rPr>
      <w:rFonts w:eastAsia="等线" w:cs="Times New Roman"/>
      <w:kern w:val="0"/>
      <w:sz w:val="22"/>
      <w:lang w:eastAsia="en-US"/>
    </w:rPr>
  </w:style>
  <w:style w:type="paragraph" w:styleId="20">
    <w:name w:val="List Number"/>
    <w:basedOn w:val="1"/>
    <w:unhideWhenUsed/>
    <w:qFormat/>
    <w:uiPriority w:val="0"/>
    <w:pPr>
      <w:widowControl/>
      <w:numPr>
        <w:ilvl w:val="0"/>
        <w:numId w:val="3"/>
      </w:numPr>
      <w:tabs>
        <w:tab w:val="clear" w:pos="360"/>
      </w:tabs>
      <w:autoSpaceDN w:val="0"/>
      <w:spacing w:before="120" w:after="120"/>
      <w:ind w:left="1202" w:hanging="720"/>
    </w:pPr>
    <w:rPr>
      <w:rFonts w:ascii="Futura Lt BT" w:hAnsi="Futura Lt BT" w:eastAsia="等线"/>
      <w:spacing w:val="-6"/>
      <w:kern w:val="0"/>
      <w:sz w:val="20"/>
      <w:lang w:val="en-CA" w:eastAsia="en-US"/>
    </w:rPr>
  </w:style>
  <w:style w:type="paragraph" w:styleId="21">
    <w:name w:val="Normal Indent"/>
    <w:basedOn w:val="1"/>
    <w:link w:val="111"/>
    <w:qFormat/>
    <w:uiPriority w:val="0"/>
    <w:pPr>
      <w:ind w:firstLine="420" w:firstLineChars="200"/>
    </w:pPr>
  </w:style>
  <w:style w:type="paragraph" w:styleId="22">
    <w:name w:val="caption"/>
    <w:basedOn w:val="1"/>
    <w:next w:val="1"/>
    <w:qFormat/>
    <w:uiPriority w:val="0"/>
    <w:pPr>
      <w:widowControl/>
      <w:autoSpaceDN w:val="0"/>
      <w:spacing w:before="120" w:after="120"/>
      <w:jc w:val="right"/>
    </w:pPr>
    <w:rPr>
      <w:rFonts w:ascii="Futura Lt BT" w:hAnsi="Futura Lt BT" w:eastAsia="等线"/>
      <w:b/>
      <w:bCs/>
      <w:spacing w:val="-6"/>
      <w:kern w:val="0"/>
      <w:sz w:val="16"/>
      <w:szCs w:val="20"/>
      <w:lang w:val="en-CA" w:eastAsia="en-US"/>
    </w:rPr>
  </w:style>
  <w:style w:type="paragraph" w:styleId="23">
    <w:name w:val="index 5"/>
    <w:basedOn w:val="1"/>
    <w:next w:val="1"/>
    <w:unhideWhenUsed/>
    <w:qFormat/>
    <w:uiPriority w:val="0"/>
    <w:pPr>
      <w:widowControl/>
      <w:autoSpaceDN w:val="0"/>
      <w:spacing w:after="120"/>
      <w:ind w:left="1100" w:hanging="220"/>
    </w:pPr>
    <w:rPr>
      <w:rFonts w:eastAsia="等线"/>
      <w:kern w:val="0"/>
      <w:sz w:val="22"/>
      <w:lang w:eastAsia="en-US"/>
    </w:rPr>
  </w:style>
  <w:style w:type="paragraph" w:styleId="24">
    <w:name w:val="List Bullet"/>
    <w:basedOn w:val="1"/>
    <w:unhideWhenUsed/>
    <w:qFormat/>
    <w:uiPriority w:val="0"/>
    <w:pPr>
      <w:numPr>
        <w:ilvl w:val="0"/>
        <w:numId w:val="4"/>
      </w:numPr>
      <w:tabs>
        <w:tab w:val="left" w:pos="360"/>
      </w:tabs>
      <w:contextualSpacing/>
    </w:pPr>
    <w:rPr>
      <w:szCs w:val="20"/>
    </w:rPr>
  </w:style>
  <w:style w:type="paragraph" w:styleId="25">
    <w:name w:val="envelope address"/>
    <w:basedOn w:val="1"/>
    <w:unhideWhenUsed/>
    <w:qFormat/>
    <w:uiPriority w:val="0"/>
    <w:pPr>
      <w:framePr w:w="7920" w:h="1980" w:hSpace="180" w:wrap="around" w:vAnchor="margin" w:hAnchor="page" w:xAlign="center" w:yAlign="bottom"/>
      <w:widowControl/>
      <w:autoSpaceDN w:val="0"/>
      <w:spacing w:after="120"/>
      <w:ind w:left="2880"/>
    </w:pPr>
    <w:rPr>
      <w:rFonts w:ascii="Arial" w:hAnsi="Arial" w:eastAsia="等线" w:cs="Arial"/>
      <w:kern w:val="0"/>
      <w:sz w:val="24"/>
      <w:lang w:eastAsia="en-US"/>
    </w:rPr>
  </w:style>
  <w:style w:type="paragraph" w:styleId="26">
    <w:name w:val="Document Map"/>
    <w:basedOn w:val="1"/>
    <w:link w:val="112"/>
    <w:unhideWhenUsed/>
    <w:qFormat/>
    <w:uiPriority w:val="0"/>
    <w:rPr>
      <w:rFonts w:ascii="宋体"/>
      <w:sz w:val="18"/>
      <w:szCs w:val="18"/>
    </w:rPr>
  </w:style>
  <w:style w:type="paragraph" w:styleId="27">
    <w:name w:val="toa heading"/>
    <w:basedOn w:val="1"/>
    <w:next w:val="1"/>
    <w:unhideWhenUsed/>
    <w:qFormat/>
    <w:uiPriority w:val="0"/>
    <w:pPr>
      <w:adjustRightInd w:val="0"/>
      <w:spacing w:before="200" w:line="360" w:lineRule="atLeast"/>
      <w:jc w:val="center"/>
    </w:pPr>
    <w:rPr>
      <w:rFonts w:ascii="Arial" w:hAnsi="Arial" w:eastAsia="黑体"/>
      <w:kern w:val="0"/>
      <w:sz w:val="44"/>
      <w:szCs w:val="20"/>
    </w:rPr>
  </w:style>
  <w:style w:type="paragraph" w:styleId="28">
    <w:name w:val="annotation text"/>
    <w:basedOn w:val="1"/>
    <w:link w:val="113"/>
    <w:semiHidden/>
    <w:qFormat/>
    <w:uiPriority w:val="0"/>
    <w:pPr>
      <w:jc w:val="left"/>
    </w:pPr>
  </w:style>
  <w:style w:type="paragraph" w:styleId="29">
    <w:name w:val="index 6"/>
    <w:basedOn w:val="1"/>
    <w:next w:val="1"/>
    <w:unhideWhenUsed/>
    <w:qFormat/>
    <w:uiPriority w:val="0"/>
    <w:pPr>
      <w:widowControl/>
      <w:autoSpaceDN w:val="0"/>
      <w:spacing w:after="120"/>
      <w:ind w:left="1320" w:hanging="220"/>
    </w:pPr>
    <w:rPr>
      <w:rFonts w:eastAsia="等线"/>
      <w:kern w:val="0"/>
      <w:sz w:val="22"/>
      <w:lang w:eastAsia="en-US"/>
    </w:rPr>
  </w:style>
  <w:style w:type="paragraph" w:styleId="30">
    <w:name w:val="Salutation"/>
    <w:basedOn w:val="1"/>
    <w:next w:val="1"/>
    <w:link w:val="114"/>
    <w:unhideWhenUsed/>
    <w:qFormat/>
    <w:uiPriority w:val="0"/>
    <w:pPr>
      <w:widowControl/>
      <w:autoSpaceDN w:val="0"/>
      <w:spacing w:after="120"/>
    </w:pPr>
    <w:rPr>
      <w:rFonts w:eastAsia="等线" w:cs="Times New Roman"/>
      <w:kern w:val="0"/>
      <w:sz w:val="22"/>
      <w:lang w:eastAsia="en-US"/>
    </w:rPr>
  </w:style>
  <w:style w:type="paragraph" w:styleId="31">
    <w:name w:val="Body Text 3"/>
    <w:basedOn w:val="1"/>
    <w:link w:val="115"/>
    <w:unhideWhenUsed/>
    <w:qFormat/>
    <w:uiPriority w:val="0"/>
    <w:pPr>
      <w:widowControl/>
      <w:autoSpaceDN w:val="0"/>
      <w:spacing w:after="120"/>
    </w:pPr>
    <w:rPr>
      <w:rFonts w:eastAsia="等线" w:cs="Times New Roman"/>
      <w:kern w:val="0"/>
      <w:sz w:val="16"/>
      <w:szCs w:val="16"/>
      <w:lang w:eastAsia="en-US"/>
    </w:rPr>
  </w:style>
  <w:style w:type="paragraph" w:styleId="32">
    <w:name w:val="Closing"/>
    <w:basedOn w:val="1"/>
    <w:link w:val="116"/>
    <w:unhideWhenUsed/>
    <w:qFormat/>
    <w:uiPriority w:val="0"/>
    <w:pPr>
      <w:widowControl/>
      <w:autoSpaceDN w:val="0"/>
      <w:spacing w:after="120"/>
      <w:ind w:left="4320"/>
    </w:pPr>
    <w:rPr>
      <w:rFonts w:eastAsia="等线" w:cs="Times New Roman"/>
      <w:kern w:val="0"/>
      <w:sz w:val="22"/>
      <w:lang w:eastAsia="en-US"/>
    </w:rPr>
  </w:style>
  <w:style w:type="paragraph" w:styleId="33">
    <w:name w:val="List Bullet 3"/>
    <w:basedOn w:val="1"/>
    <w:unhideWhenUsed/>
    <w:qFormat/>
    <w:uiPriority w:val="0"/>
    <w:pPr>
      <w:widowControl/>
      <w:numPr>
        <w:ilvl w:val="0"/>
        <w:numId w:val="5"/>
      </w:numPr>
      <w:tabs>
        <w:tab w:val="left" w:pos="-630"/>
        <w:tab w:val="clear" w:pos="1080"/>
      </w:tabs>
      <w:autoSpaceDN w:val="0"/>
      <w:spacing w:before="120" w:after="120"/>
      <w:ind w:left="-630" w:hanging="180"/>
    </w:pPr>
    <w:rPr>
      <w:rFonts w:ascii="Futura Lt BT" w:hAnsi="Futura Lt BT" w:eastAsia="等线"/>
      <w:spacing w:val="-6"/>
      <w:kern w:val="0"/>
      <w:sz w:val="20"/>
      <w:lang w:val="en-CA" w:eastAsia="en-US"/>
    </w:rPr>
  </w:style>
  <w:style w:type="paragraph" w:styleId="34">
    <w:name w:val="Body Text"/>
    <w:basedOn w:val="1"/>
    <w:link w:val="117"/>
    <w:qFormat/>
    <w:uiPriority w:val="0"/>
    <w:pPr>
      <w:spacing w:after="120"/>
    </w:pPr>
  </w:style>
  <w:style w:type="paragraph" w:styleId="35">
    <w:name w:val="Body Text Indent"/>
    <w:basedOn w:val="1"/>
    <w:link w:val="118"/>
    <w:qFormat/>
    <w:uiPriority w:val="99"/>
    <w:pPr>
      <w:spacing w:after="120"/>
      <w:ind w:left="420" w:leftChars="200"/>
    </w:pPr>
  </w:style>
  <w:style w:type="paragraph" w:styleId="36">
    <w:name w:val="List Number 3"/>
    <w:basedOn w:val="1"/>
    <w:unhideWhenUsed/>
    <w:qFormat/>
    <w:uiPriority w:val="0"/>
    <w:pPr>
      <w:widowControl/>
      <w:numPr>
        <w:ilvl w:val="0"/>
        <w:numId w:val="6"/>
      </w:numPr>
      <w:tabs>
        <w:tab w:val="left" w:pos="360"/>
        <w:tab w:val="clear" w:pos="1080"/>
      </w:tabs>
      <w:autoSpaceDN w:val="0"/>
      <w:spacing w:before="120" w:after="120"/>
      <w:ind w:left="0" w:firstLine="0"/>
    </w:pPr>
    <w:rPr>
      <w:rFonts w:ascii="Futura Lt BT" w:hAnsi="Futura Lt BT" w:eastAsia="等线"/>
      <w:spacing w:val="-6"/>
      <w:kern w:val="0"/>
      <w:sz w:val="20"/>
      <w:lang w:val="en-CA" w:eastAsia="en-US"/>
    </w:rPr>
  </w:style>
  <w:style w:type="paragraph" w:styleId="37">
    <w:name w:val="List 2"/>
    <w:basedOn w:val="1"/>
    <w:qFormat/>
    <w:uiPriority w:val="0"/>
    <w:pPr>
      <w:ind w:left="100" w:leftChars="200" w:hanging="200" w:hangingChars="200"/>
    </w:pPr>
    <w:rPr>
      <w:szCs w:val="20"/>
    </w:rPr>
  </w:style>
  <w:style w:type="paragraph" w:styleId="38">
    <w:name w:val="List Continue"/>
    <w:basedOn w:val="1"/>
    <w:qFormat/>
    <w:uiPriority w:val="0"/>
    <w:pPr>
      <w:spacing w:after="120"/>
      <w:ind w:left="420" w:leftChars="200"/>
    </w:pPr>
    <w:rPr>
      <w:szCs w:val="20"/>
    </w:rPr>
  </w:style>
  <w:style w:type="paragraph" w:styleId="39">
    <w:name w:val="Block Text"/>
    <w:basedOn w:val="1"/>
    <w:qFormat/>
    <w:uiPriority w:val="0"/>
    <w:pPr>
      <w:autoSpaceDE w:val="0"/>
      <w:autoSpaceDN w:val="0"/>
      <w:adjustRightInd w:val="0"/>
      <w:spacing w:line="300" w:lineRule="auto"/>
      <w:ind w:left="29" w:leftChars="12" w:right="6" w:firstLine="560" w:firstLineChars="200"/>
    </w:pPr>
    <w:rPr>
      <w:kern w:val="0"/>
      <w:sz w:val="28"/>
      <w:szCs w:val="20"/>
    </w:rPr>
  </w:style>
  <w:style w:type="paragraph" w:styleId="40">
    <w:name w:val="List Bullet 2"/>
    <w:basedOn w:val="1"/>
    <w:unhideWhenUsed/>
    <w:qFormat/>
    <w:uiPriority w:val="0"/>
    <w:pPr>
      <w:widowControl/>
      <w:numPr>
        <w:ilvl w:val="0"/>
        <w:numId w:val="7"/>
      </w:numPr>
      <w:tabs>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41">
    <w:name w:val="HTML Address"/>
    <w:basedOn w:val="1"/>
    <w:link w:val="119"/>
    <w:unhideWhenUsed/>
    <w:qFormat/>
    <w:uiPriority w:val="0"/>
    <w:pPr>
      <w:widowControl/>
      <w:autoSpaceDN w:val="0"/>
      <w:spacing w:after="120"/>
    </w:pPr>
    <w:rPr>
      <w:rFonts w:eastAsia="等线" w:cs="Times New Roman"/>
      <w:i/>
      <w:iCs/>
      <w:kern w:val="0"/>
      <w:sz w:val="22"/>
      <w:lang w:eastAsia="en-US"/>
    </w:rPr>
  </w:style>
  <w:style w:type="paragraph" w:styleId="42">
    <w:name w:val="index 4"/>
    <w:basedOn w:val="1"/>
    <w:next w:val="1"/>
    <w:unhideWhenUsed/>
    <w:qFormat/>
    <w:uiPriority w:val="0"/>
    <w:pPr>
      <w:widowControl/>
      <w:autoSpaceDN w:val="0"/>
      <w:spacing w:after="120"/>
      <w:ind w:left="880" w:hanging="220"/>
    </w:pPr>
    <w:rPr>
      <w:rFonts w:eastAsia="等线"/>
      <w:kern w:val="0"/>
      <w:sz w:val="22"/>
      <w:lang w:eastAsia="en-US"/>
    </w:rPr>
  </w:style>
  <w:style w:type="paragraph" w:styleId="43">
    <w:name w:val="toc 5"/>
    <w:basedOn w:val="1"/>
    <w:next w:val="1"/>
    <w:qFormat/>
    <w:uiPriority w:val="0"/>
    <w:pPr>
      <w:ind w:left="840"/>
      <w:jc w:val="left"/>
    </w:pPr>
    <w:rPr>
      <w:sz w:val="18"/>
      <w:szCs w:val="20"/>
    </w:rPr>
  </w:style>
  <w:style w:type="paragraph" w:styleId="44">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45">
    <w:name w:val="Plain Text"/>
    <w:basedOn w:val="1"/>
    <w:link w:val="120"/>
    <w:qFormat/>
    <w:uiPriority w:val="0"/>
    <w:rPr>
      <w:rFonts w:ascii="宋体" w:hAnsi="Courier New"/>
      <w:szCs w:val="20"/>
    </w:rPr>
  </w:style>
  <w:style w:type="paragraph" w:styleId="46">
    <w:name w:val="List Bullet 5"/>
    <w:basedOn w:val="1"/>
    <w:unhideWhenUsed/>
    <w:qFormat/>
    <w:uiPriority w:val="0"/>
    <w:pPr>
      <w:widowControl/>
      <w:numPr>
        <w:ilvl w:val="0"/>
        <w:numId w:val="8"/>
      </w:numPr>
      <w:tabs>
        <w:tab w:val="left" w:pos="360"/>
        <w:tab w:val="clear" w:pos="1800"/>
      </w:tabs>
      <w:autoSpaceDN w:val="0"/>
      <w:spacing w:before="120" w:after="120"/>
      <w:ind w:left="0" w:firstLine="0"/>
    </w:pPr>
    <w:rPr>
      <w:rFonts w:ascii="Futura Lt BT" w:hAnsi="Futura Lt BT" w:eastAsia="等线"/>
      <w:spacing w:val="-6"/>
      <w:kern w:val="0"/>
      <w:sz w:val="20"/>
      <w:lang w:val="en-CA" w:eastAsia="en-US"/>
    </w:rPr>
  </w:style>
  <w:style w:type="paragraph" w:styleId="47">
    <w:name w:val="List Number 4"/>
    <w:basedOn w:val="1"/>
    <w:unhideWhenUsed/>
    <w:qFormat/>
    <w:uiPriority w:val="0"/>
    <w:pPr>
      <w:widowControl/>
      <w:numPr>
        <w:ilvl w:val="0"/>
        <w:numId w:val="9"/>
      </w:numPr>
      <w:tabs>
        <w:tab w:val="left" w:pos="360"/>
        <w:tab w:val="clear" w:pos="1440"/>
      </w:tabs>
      <w:autoSpaceDN w:val="0"/>
      <w:spacing w:before="120" w:after="120"/>
      <w:ind w:left="0" w:firstLine="0"/>
    </w:pPr>
    <w:rPr>
      <w:rFonts w:ascii="Futura Lt BT" w:hAnsi="Futura Lt BT" w:eastAsia="等线"/>
      <w:spacing w:val="-6"/>
      <w:kern w:val="0"/>
      <w:sz w:val="20"/>
      <w:lang w:val="en-CA" w:eastAsia="en-US"/>
    </w:rPr>
  </w:style>
  <w:style w:type="paragraph" w:styleId="48">
    <w:name w:val="toc 8"/>
    <w:basedOn w:val="1"/>
    <w:next w:val="1"/>
    <w:qFormat/>
    <w:uiPriority w:val="0"/>
    <w:pPr>
      <w:ind w:left="1470"/>
      <w:jc w:val="left"/>
    </w:pPr>
    <w:rPr>
      <w:sz w:val="18"/>
      <w:szCs w:val="20"/>
    </w:rPr>
  </w:style>
  <w:style w:type="paragraph" w:styleId="49">
    <w:name w:val="index 3"/>
    <w:basedOn w:val="1"/>
    <w:next w:val="1"/>
    <w:unhideWhenUsed/>
    <w:qFormat/>
    <w:uiPriority w:val="0"/>
    <w:pPr>
      <w:widowControl/>
      <w:autoSpaceDN w:val="0"/>
      <w:spacing w:after="120"/>
      <w:ind w:left="660" w:hanging="220"/>
    </w:pPr>
    <w:rPr>
      <w:rFonts w:eastAsia="等线"/>
      <w:kern w:val="0"/>
      <w:sz w:val="22"/>
      <w:lang w:eastAsia="en-US"/>
    </w:rPr>
  </w:style>
  <w:style w:type="paragraph" w:styleId="50">
    <w:name w:val="Date"/>
    <w:basedOn w:val="1"/>
    <w:next w:val="1"/>
    <w:link w:val="121"/>
    <w:qFormat/>
    <w:uiPriority w:val="0"/>
    <w:pPr>
      <w:widowControl/>
      <w:ind w:left="100"/>
      <w:jc w:val="left"/>
    </w:pPr>
    <w:rPr>
      <w:rFonts w:ascii="宋体" w:hAnsi="宋体"/>
      <w:kern w:val="0"/>
      <w:sz w:val="28"/>
      <w:szCs w:val="20"/>
    </w:rPr>
  </w:style>
  <w:style w:type="paragraph" w:styleId="51">
    <w:name w:val="Body Text Indent 2"/>
    <w:basedOn w:val="1"/>
    <w:link w:val="122"/>
    <w:unhideWhenUsed/>
    <w:qFormat/>
    <w:uiPriority w:val="0"/>
    <w:pPr>
      <w:spacing w:after="120" w:line="480" w:lineRule="auto"/>
      <w:ind w:left="420" w:leftChars="200"/>
    </w:pPr>
    <w:rPr>
      <w:szCs w:val="20"/>
    </w:rPr>
  </w:style>
  <w:style w:type="paragraph" w:styleId="52">
    <w:name w:val="endnote text"/>
    <w:basedOn w:val="1"/>
    <w:link w:val="123"/>
    <w:unhideWhenUsed/>
    <w:qFormat/>
    <w:uiPriority w:val="0"/>
    <w:pPr>
      <w:widowControl/>
      <w:autoSpaceDN w:val="0"/>
      <w:spacing w:after="120"/>
    </w:pPr>
    <w:rPr>
      <w:rFonts w:eastAsia="等线" w:cs="Times New Roman"/>
      <w:kern w:val="0"/>
      <w:sz w:val="20"/>
      <w:szCs w:val="20"/>
      <w:lang w:eastAsia="en-US"/>
    </w:rPr>
  </w:style>
  <w:style w:type="paragraph" w:styleId="53">
    <w:name w:val="List Continue 5"/>
    <w:basedOn w:val="1"/>
    <w:qFormat/>
    <w:uiPriority w:val="0"/>
    <w:pPr>
      <w:spacing w:after="120"/>
      <w:ind w:left="2100" w:leftChars="1000"/>
    </w:pPr>
    <w:rPr>
      <w:szCs w:val="20"/>
    </w:rPr>
  </w:style>
  <w:style w:type="paragraph" w:styleId="54">
    <w:name w:val="Balloon Text"/>
    <w:basedOn w:val="1"/>
    <w:link w:val="124"/>
    <w:qFormat/>
    <w:uiPriority w:val="0"/>
    <w:rPr>
      <w:sz w:val="18"/>
      <w:szCs w:val="18"/>
    </w:rPr>
  </w:style>
  <w:style w:type="paragraph" w:styleId="55">
    <w:name w:val="footer"/>
    <w:basedOn w:val="1"/>
    <w:link w:val="125"/>
    <w:qFormat/>
    <w:uiPriority w:val="99"/>
    <w:pPr>
      <w:tabs>
        <w:tab w:val="center" w:pos="4153"/>
        <w:tab w:val="right" w:pos="8306"/>
      </w:tabs>
      <w:snapToGrid w:val="0"/>
      <w:jc w:val="left"/>
    </w:pPr>
    <w:rPr>
      <w:sz w:val="18"/>
    </w:rPr>
  </w:style>
  <w:style w:type="paragraph" w:styleId="56">
    <w:name w:val="envelope return"/>
    <w:basedOn w:val="1"/>
    <w:unhideWhenUsed/>
    <w:qFormat/>
    <w:uiPriority w:val="0"/>
    <w:pPr>
      <w:snapToGrid w:val="0"/>
    </w:pPr>
    <w:rPr>
      <w:rFonts w:ascii="Arial" w:hAnsi="Arial"/>
    </w:rPr>
  </w:style>
  <w:style w:type="paragraph" w:styleId="57">
    <w:name w:val="header"/>
    <w:basedOn w:val="1"/>
    <w:link w:val="1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link w:val="127"/>
    <w:unhideWhenUsed/>
    <w:qFormat/>
    <w:uiPriority w:val="0"/>
    <w:pPr>
      <w:widowControl/>
      <w:autoSpaceDN w:val="0"/>
      <w:spacing w:after="120"/>
      <w:ind w:left="4320"/>
    </w:pPr>
    <w:rPr>
      <w:rFonts w:eastAsia="等线" w:cs="Times New Roman"/>
      <w:kern w:val="0"/>
      <w:sz w:val="22"/>
      <w:lang w:eastAsia="en-US"/>
    </w:rPr>
  </w:style>
  <w:style w:type="paragraph" w:styleId="59">
    <w:name w:val="toc 1"/>
    <w:basedOn w:val="1"/>
    <w:next w:val="1"/>
    <w:unhideWhenUsed/>
    <w:qFormat/>
    <w:uiPriority w:val="0"/>
    <w:pPr>
      <w:widowControl/>
      <w:tabs>
        <w:tab w:val="right" w:leader="hyphen" w:pos="9736"/>
      </w:tabs>
      <w:spacing w:after="100" w:line="276" w:lineRule="auto"/>
      <w:jc w:val="center"/>
    </w:pPr>
    <w:rPr>
      <w:rFonts w:ascii="Calibri" w:hAnsi="Calibri"/>
      <w:kern w:val="0"/>
      <w:sz w:val="22"/>
      <w:szCs w:val="22"/>
    </w:rPr>
  </w:style>
  <w:style w:type="paragraph" w:styleId="60">
    <w:name w:val="List Continue 4"/>
    <w:basedOn w:val="1"/>
    <w:qFormat/>
    <w:uiPriority w:val="0"/>
    <w:pPr>
      <w:spacing w:after="120"/>
      <w:ind w:left="1680" w:leftChars="800"/>
    </w:pPr>
    <w:rPr>
      <w:szCs w:val="20"/>
    </w:rPr>
  </w:style>
  <w:style w:type="paragraph" w:styleId="61">
    <w:name w:val="toc 4"/>
    <w:basedOn w:val="1"/>
    <w:next w:val="1"/>
    <w:qFormat/>
    <w:uiPriority w:val="0"/>
    <w:pPr>
      <w:tabs>
        <w:tab w:val="left" w:pos="1080"/>
        <w:tab w:val="right" w:leader="dot" w:pos="9125"/>
      </w:tabs>
      <w:adjustRightInd w:val="0"/>
      <w:snapToGrid w:val="0"/>
      <w:spacing w:line="360" w:lineRule="auto"/>
      <w:jc w:val="left"/>
    </w:pPr>
    <w:rPr>
      <w:sz w:val="18"/>
      <w:szCs w:val="20"/>
    </w:rPr>
  </w:style>
  <w:style w:type="paragraph" w:styleId="62">
    <w:name w:val="index heading"/>
    <w:basedOn w:val="1"/>
    <w:next w:val="63"/>
    <w:unhideWhenUsed/>
    <w:qFormat/>
    <w:uiPriority w:val="0"/>
    <w:pPr>
      <w:widowControl/>
      <w:autoSpaceDN w:val="0"/>
      <w:spacing w:after="120"/>
    </w:pPr>
    <w:rPr>
      <w:rFonts w:ascii="Arial" w:hAnsi="Arial" w:eastAsia="等线" w:cs="Arial"/>
      <w:b/>
      <w:bCs/>
      <w:kern w:val="0"/>
      <w:sz w:val="22"/>
      <w:lang w:eastAsia="en-US"/>
    </w:rPr>
  </w:style>
  <w:style w:type="paragraph" w:styleId="63">
    <w:name w:val="index 1"/>
    <w:basedOn w:val="1"/>
    <w:next w:val="1"/>
    <w:unhideWhenUsed/>
    <w:qFormat/>
    <w:uiPriority w:val="0"/>
    <w:pPr>
      <w:autoSpaceDN w:val="0"/>
    </w:pPr>
    <w:rPr>
      <w:rFonts w:ascii="等线" w:hAnsi="等线" w:eastAsia="等线" w:cs="Times New Roman"/>
      <w:szCs w:val="22"/>
    </w:rPr>
  </w:style>
  <w:style w:type="paragraph" w:styleId="64">
    <w:name w:val="Subtitle"/>
    <w:basedOn w:val="1"/>
    <w:link w:val="128"/>
    <w:qFormat/>
    <w:uiPriority w:val="11"/>
    <w:pPr>
      <w:widowControl/>
      <w:autoSpaceDN w:val="0"/>
      <w:spacing w:after="120"/>
    </w:pPr>
    <w:rPr>
      <w:rFonts w:eastAsia="等线" w:cs="Times New Roman"/>
      <w:b/>
      <w:kern w:val="0"/>
      <w:sz w:val="28"/>
      <w:szCs w:val="20"/>
      <w:lang w:eastAsia="en-US"/>
    </w:rPr>
  </w:style>
  <w:style w:type="paragraph" w:styleId="65">
    <w:name w:val="List Number 5"/>
    <w:basedOn w:val="1"/>
    <w:unhideWhenUsed/>
    <w:qFormat/>
    <w:uiPriority w:val="0"/>
    <w:pPr>
      <w:widowControl/>
      <w:numPr>
        <w:ilvl w:val="0"/>
        <w:numId w:val="10"/>
      </w:numPr>
      <w:tabs>
        <w:tab w:val="left" w:pos="360"/>
        <w:tab w:val="clear" w:pos="1800"/>
      </w:tabs>
      <w:autoSpaceDN w:val="0"/>
      <w:spacing w:before="120" w:after="120"/>
      <w:ind w:left="0" w:firstLine="0"/>
    </w:pPr>
    <w:rPr>
      <w:rFonts w:ascii="Futura Lt BT" w:hAnsi="Futura Lt BT" w:eastAsia="等线"/>
      <w:spacing w:val="-6"/>
      <w:kern w:val="0"/>
      <w:sz w:val="20"/>
      <w:lang w:val="en-CA" w:eastAsia="en-US"/>
    </w:rPr>
  </w:style>
  <w:style w:type="paragraph" w:styleId="66">
    <w:name w:val="List"/>
    <w:basedOn w:val="1"/>
    <w:qFormat/>
    <w:uiPriority w:val="0"/>
    <w:pPr>
      <w:ind w:left="200" w:hanging="200" w:hangingChars="200"/>
    </w:pPr>
    <w:rPr>
      <w:szCs w:val="20"/>
    </w:rPr>
  </w:style>
  <w:style w:type="paragraph" w:styleId="67">
    <w:name w:val="footnote text"/>
    <w:basedOn w:val="1"/>
    <w:link w:val="129"/>
    <w:unhideWhenUsed/>
    <w:qFormat/>
    <w:uiPriority w:val="0"/>
    <w:pPr>
      <w:snapToGrid w:val="0"/>
      <w:jc w:val="left"/>
    </w:pPr>
    <w:rPr>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rPr>
      <w:szCs w:val="20"/>
    </w:rPr>
  </w:style>
  <w:style w:type="paragraph" w:styleId="70">
    <w:name w:val="Body Text Indent 3"/>
    <w:basedOn w:val="1"/>
    <w:link w:val="130"/>
    <w:qFormat/>
    <w:uiPriority w:val="0"/>
    <w:pPr>
      <w:ind w:firstLine="435"/>
    </w:pPr>
    <w:rPr>
      <w:rFonts w:ascii="仿宋_GB2312" w:hAnsi="宋体" w:eastAsia="仿宋_GB2312" w:cs="Times New Roman"/>
      <w:sz w:val="28"/>
    </w:rPr>
  </w:style>
  <w:style w:type="paragraph" w:styleId="71">
    <w:name w:val="index 7"/>
    <w:basedOn w:val="1"/>
    <w:next w:val="1"/>
    <w:unhideWhenUsed/>
    <w:qFormat/>
    <w:uiPriority w:val="0"/>
    <w:pPr>
      <w:widowControl/>
      <w:autoSpaceDN w:val="0"/>
      <w:spacing w:after="120"/>
      <w:ind w:left="1540" w:hanging="220"/>
    </w:pPr>
    <w:rPr>
      <w:rFonts w:eastAsia="等线"/>
      <w:kern w:val="0"/>
      <w:sz w:val="22"/>
      <w:lang w:eastAsia="en-US"/>
    </w:rPr>
  </w:style>
  <w:style w:type="paragraph" w:styleId="72">
    <w:name w:val="index 9"/>
    <w:basedOn w:val="1"/>
    <w:next w:val="1"/>
    <w:unhideWhenUsed/>
    <w:qFormat/>
    <w:uiPriority w:val="0"/>
    <w:pPr>
      <w:widowControl/>
      <w:autoSpaceDN w:val="0"/>
      <w:spacing w:after="120"/>
      <w:ind w:left="1980" w:hanging="220"/>
    </w:pPr>
    <w:rPr>
      <w:rFonts w:eastAsia="等线"/>
      <w:kern w:val="0"/>
      <w:sz w:val="22"/>
      <w:lang w:eastAsia="en-US"/>
    </w:rPr>
  </w:style>
  <w:style w:type="paragraph" w:styleId="73">
    <w:name w:val="table of figures"/>
    <w:basedOn w:val="1"/>
    <w:next w:val="1"/>
    <w:unhideWhenUsed/>
    <w:qFormat/>
    <w:uiPriority w:val="0"/>
    <w:pPr>
      <w:widowControl/>
      <w:autoSpaceDN w:val="0"/>
      <w:spacing w:after="120"/>
      <w:ind w:left="440" w:hanging="440"/>
    </w:pPr>
    <w:rPr>
      <w:rFonts w:eastAsia="等线"/>
      <w:kern w:val="0"/>
      <w:sz w:val="22"/>
      <w:lang w:eastAsia="en-US"/>
    </w:rPr>
  </w:style>
  <w:style w:type="paragraph" w:styleId="74">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75">
    <w:name w:val="toc 9"/>
    <w:basedOn w:val="1"/>
    <w:next w:val="1"/>
    <w:qFormat/>
    <w:uiPriority w:val="0"/>
    <w:pPr>
      <w:ind w:left="1680"/>
      <w:jc w:val="left"/>
    </w:pPr>
    <w:rPr>
      <w:sz w:val="18"/>
      <w:szCs w:val="20"/>
    </w:rPr>
  </w:style>
  <w:style w:type="paragraph" w:styleId="76">
    <w:name w:val="Body Text 2"/>
    <w:basedOn w:val="1"/>
    <w:link w:val="131"/>
    <w:qFormat/>
    <w:uiPriority w:val="0"/>
    <w:rPr>
      <w:rFonts w:ascii="宋体" w:hAnsi="宋体"/>
      <w:sz w:val="24"/>
      <w:szCs w:val="20"/>
    </w:rPr>
  </w:style>
  <w:style w:type="paragraph" w:styleId="77">
    <w:name w:val="List 4"/>
    <w:basedOn w:val="1"/>
    <w:qFormat/>
    <w:uiPriority w:val="0"/>
    <w:pPr>
      <w:ind w:left="100" w:leftChars="600" w:hanging="200" w:hangingChars="200"/>
    </w:pPr>
    <w:rPr>
      <w:szCs w:val="20"/>
    </w:rPr>
  </w:style>
  <w:style w:type="paragraph" w:styleId="78">
    <w:name w:val="List Continue 2"/>
    <w:basedOn w:val="1"/>
    <w:qFormat/>
    <w:uiPriority w:val="0"/>
    <w:pPr>
      <w:spacing w:after="120"/>
      <w:ind w:left="840" w:leftChars="400"/>
    </w:pPr>
    <w:rPr>
      <w:szCs w:val="20"/>
    </w:rPr>
  </w:style>
  <w:style w:type="paragraph" w:styleId="79">
    <w:name w:val="Message Header"/>
    <w:basedOn w:val="1"/>
    <w:link w:val="132"/>
    <w:unhideWhenUsed/>
    <w:qFormat/>
    <w:uiPriority w:val="0"/>
    <w:pPr>
      <w:widowControl/>
      <w:pBdr>
        <w:top w:val="single" w:color="auto" w:sz="6" w:space="1"/>
        <w:left w:val="single" w:color="auto" w:sz="6" w:space="1"/>
        <w:bottom w:val="single" w:color="auto" w:sz="6" w:space="1"/>
        <w:right w:val="single" w:color="auto" w:sz="6" w:space="1"/>
      </w:pBdr>
      <w:shd w:val="pct20" w:color="auto" w:fill="auto"/>
      <w:autoSpaceDN w:val="0"/>
      <w:spacing w:after="120"/>
      <w:ind w:left="1080" w:hanging="1080"/>
    </w:pPr>
    <w:rPr>
      <w:rFonts w:ascii="Arial" w:hAnsi="Arial" w:eastAsia="等线" w:cs="Times New Roman"/>
      <w:kern w:val="0"/>
      <w:sz w:val="24"/>
      <w:lang w:eastAsia="en-US"/>
    </w:rPr>
  </w:style>
  <w:style w:type="paragraph" w:styleId="80">
    <w:name w:val="HTML Preformatted"/>
    <w:basedOn w:val="1"/>
    <w:link w:val="133"/>
    <w:unhideWhenUsed/>
    <w:qFormat/>
    <w:uiPriority w:val="0"/>
    <w:rPr>
      <w:rFonts w:ascii="Courier New" w:hAnsi="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rPr>
      <w:szCs w:val="20"/>
    </w:rPr>
  </w:style>
  <w:style w:type="paragraph" w:styleId="83">
    <w:name w:val="index 2"/>
    <w:basedOn w:val="1"/>
    <w:next w:val="1"/>
    <w:unhideWhenUsed/>
    <w:qFormat/>
    <w:uiPriority w:val="0"/>
    <w:pPr>
      <w:widowControl/>
      <w:autoSpaceDN w:val="0"/>
      <w:spacing w:after="120"/>
      <w:ind w:left="440" w:hanging="220"/>
    </w:pPr>
    <w:rPr>
      <w:rFonts w:eastAsia="等线"/>
      <w:kern w:val="0"/>
      <w:sz w:val="22"/>
      <w:lang w:eastAsia="en-US"/>
    </w:rPr>
  </w:style>
  <w:style w:type="paragraph" w:styleId="84">
    <w:name w:val="Title"/>
    <w:basedOn w:val="1"/>
    <w:link w:val="134"/>
    <w:qFormat/>
    <w:uiPriority w:val="0"/>
    <w:pPr>
      <w:widowControl/>
      <w:autoSpaceDN w:val="0"/>
      <w:spacing w:after="120"/>
      <w:jc w:val="center"/>
    </w:pPr>
    <w:rPr>
      <w:rFonts w:eastAsia="等线" w:cs="Times New Roman"/>
      <w:b/>
      <w:kern w:val="0"/>
      <w:sz w:val="36"/>
      <w:szCs w:val="20"/>
      <w:lang w:eastAsia="en-US"/>
    </w:rPr>
  </w:style>
  <w:style w:type="paragraph" w:styleId="85">
    <w:name w:val="annotation subject"/>
    <w:basedOn w:val="28"/>
    <w:next w:val="28"/>
    <w:link w:val="135"/>
    <w:qFormat/>
    <w:uiPriority w:val="0"/>
    <w:rPr>
      <w:b/>
      <w:bCs/>
    </w:rPr>
  </w:style>
  <w:style w:type="paragraph" w:styleId="86">
    <w:name w:val="Body Text First Indent"/>
    <w:basedOn w:val="34"/>
    <w:next w:val="1"/>
    <w:link w:val="136"/>
    <w:qFormat/>
    <w:uiPriority w:val="0"/>
    <w:pPr>
      <w:spacing w:line="360" w:lineRule="auto"/>
      <w:ind w:firstLine="482"/>
    </w:pPr>
    <w:rPr>
      <w:b/>
      <w:sz w:val="24"/>
    </w:rPr>
  </w:style>
  <w:style w:type="paragraph" w:styleId="87">
    <w:name w:val="Body Text First Indent 2"/>
    <w:basedOn w:val="35"/>
    <w:link w:val="137"/>
    <w:qFormat/>
    <w:uiPriority w:val="99"/>
    <w:pPr>
      <w:ind w:firstLine="420" w:firstLineChars="200"/>
    </w:pPr>
    <w:rPr>
      <w:kern w:val="0"/>
      <w:sz w:val="20"/>
      <w:szCs w:val="20"/>
    </w:r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lassic 3"/>
    <w:basedOn w:val="88"/>
    <w:unhideWhenUsed/>
    <w:qFormat/>
    <w:uiPriority w:val="0"/>
    <w:rPr>
      <w:color w:val="000080"/>
      <w:lang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character" w:styleId="92">
    <w:name w:val="Strong"/>
    <w:qFormat/>
    <w:uiPriority w:val="0"/>
    <w:rPr>
      <w:b/>
      <w:bCs/>
    </w:rPr>
  </w:style>
  <w:style w:type="character" w:styleId="93">
    <w:name w:val="page number"/>
    <w:qFormat/>
    <w:uiPriority w:val="0"/>
  </w:style>
  <w:style w:type="character" w:styleId="94">
    <w:name w:val="FollowedHyperlink"/>
    <w:unhideWhenUsed/>
    <w:qFormat/>
    <w:uiPriority w:val="0"/>
    <w:rPr>
      <w:color w:val="FF00FF"/>
      <w:u w:val="single"/>
    </w:rPr>
  </w:style>
  <w:style w:type="character" w:styleId="95">
    <w:name w:val="Emphasis"/>
    <w:qFormat/>
    <w:uiPriority w:val="0"/>
    <w:rPr>
      <w:color w:val="CC0000"/>
    </w:rPr>
  </w:style>
  <w:style w:type="character" w:styleId="96">
    <w:name w:val="Hyperlink"/>
    <w:unhideWhenUsed/>
    <w:qFormat/>
    <w:uiPriority w:val="0"/>
    <w:rPr>
      <w:color w:val="333333"/>
      <w:u w:val="none"/>
    </w:rPr>
  </w:style>
  <w:style w:type="character" w:styleId="97">
    <w:name w:val="annotation reference"/>
    <w:qFormat/>
    <w:uiPriority w:val="0"/>
    <w:rPr>
      <w:sz w:val="21"/>
      <w:szCs w:val="21"/>
    </w:rPr>
  </w:style>
  <w:style w:type="character" w:styleId="98">
    <w:name w:val="footnote reference"/>
    <w:qFormat/>
    <w:uiPriority w:val="0"/>
    <w:rPr>
      <w:vertAlign w:val="superscript"/>
    </w:rPr>
  </w:style>
  <w:style w:type="character" w:customStyle="1" w:styleId="99">
    <w:name w:val="宏文本 字符"/>
    <w:link w:val="2"/>
    <w:qFormat/>
    <w:uiPriority w:val="0"/>
    <w:rPr>
      <w:rFonts w:ascii="Courier New" w:hAnsi="Courier New" w:eastAsia="等线" w:cs="Courier New"/>
      <w:lang w:eastAsia="en-US" w:bidi="ar-SA"/>
    </w:rPr>
  </w:style>
  <w:style w:type="character" w:customStyle="1" w:styleId="100">
    <w:name w:val="标题 1 字符"/>
    <w:link w:val="3"/>
    <w:qFormat/>
    <w:uiPriority w:val="0"/>
    <w:rPr>
      <w:rFonts w:eastAsia="仿宋_GB2312"/>
      <w:kern w:val="2"/>
      <w:sz w:val="28"/>
      <w:szCs w:val="24"/>
      <w:lang w:val="en-US" w:eastAsia="zh-CN" w:bidi="ar-SA"/>
    </w:rPr>
  </w:style>
  <w:style w:type="character" w:customStyle="1" w:styleId="101">
    <w:name w:val="标题 2 字符"/>
    <w:link w:val="4"/>
    <w:qFormat/>
    <w:uiPriority w:val="0"/>
    <w:rPr>
      <w:rFonts w:ascii="Cambria" w:hAnsi="Cambria" w:eastAsia="宋体"/>
      <w:b/>
      <w:bCs/>
      <w:kern w:val="2"/>
      <w:sz w:val="32"/>
      <w:szCs w:val="32"/>
      <w:lang w:val="en-US" w:eastAsia="zh-CN" w:bidi="ar-SA"/>
    </w:rPr>
  </w:style>
  <w:style w:type="character" w:customStyle="1" w:styleId="102">
    <w:name w:val="标题 3 字符"/>
    <w:link w:val="5"/>
    <w:qFormat/>
    <w:uiPriority w:val="0"/>
    <w:rPr>
      <w:rFonts w:eastAsia="宋体"/>
      <w:b/>
      <w:bCs/>
      <w:kern w:val="2"/>
      <w:sz w:val="32"/>
      <w:szCs w:val="32"/>
      <w:lang w:val="en-US" w:eastAsia="zh-CN" w:bidi="ar-SA"/>
    </w:rPr>
  </w:style>
  <w:style w:type="character" w:customStyle="1" w:styleId="103">
    <w:name w:val="标题 4 字符"/>
    <w:link w:val="6"/>
    <w:qFormat/>
    <w:uiPriority w:val="0"/>
    <w:rPr>
      <w:rFonts w:ascii="Arial" w:hAnsi="Arial" w:eastAsia="黑体"/>
      <w:b/>
      <w:kern w:val="2"/>
      <w:sz w:val="28"/>
      <w:lang w:bidi="ar-SA"/>
    </w:rPr>
  </w:style>
  <w:style w:type="character" w:customStyle="1" w:styleId="104">
    <w:name w:val="标题 5 字符"/>
    <w:link w:val="7"/>
    <w:qFormat/>
    <w:uiPriority w:val="0"/>
    <w:rPr>
      <w:rFonts w:eastAsia="宋体"/>
      <w:b/>
      <w:sz w:val="28"/>
      <w:lang w:bidi="ar-SA"/>
    </w:rPr>
  </w:style>
  <w:style w:type="character" w:customStyle="1" w:styleId="105">
    <w:name w:val="标题 6 字符"/>
    <w:link w:val="8"/>
    <w:qFormat/>
    <w:uiPriority w:val="0"/>
    <w:rPr>
      <w:rFonts w:ascii="Arial" w:hAnsi="Arial" w:eastAsia="黑体"/>
      <w:b/>
      <w:sz w:val="24"/>
      <w:lang w:bidi="ar-SA"/>
    </w:rPr>
  </w:style>
  <w:style w:type="character" w:customStyle="1" w:styleId="106">
    <w:name w:val="标题 7 字符"/>
    <w:link w:val="9"/>
    <w:qFormat/>
    <w:uiPriority w:val="0"/>
    <w:rPr>
      <w:rFonts w:eastAsia="宋体"/>
      <w:b/>
      <w:bCs/>
      <w:kern w:val="2"/>
      <w:sz w:val="24"/>
      <w:szCs w:val="24"/>
      <w:lang w:val="en-US" w:eastAsia="zh-CN" w:bidi="ar-SA"/>
    </w:rPr>
  </w:style>
  <w:style w:type="character" w:customStyle="1" w:styleId="107">
    <w:name w:val="标题 8 字符"/>
    <w:link w:val="10"/>
    <w:qFormat/>
    <w:uiPriority w:val="0"/>
    <w:rPr>
      <w:rFonts w:ascii="Arial" w:hAnsi="Arial" w:eastAsia="黑体"/>
      <w:sz w:val="24"/>
      <w:lang w:bidi="ar-SA"/>
    </w:rPr>
  </w:style>
  <w:style w:type="character" w:customStyle="1" w:styleId="108">
    <w:name w:val="标题 9 字符"/>
    <w:link w:val="11"/>
    <w:qFormat/>
    <w:uiPriority w:val="0"/>
    <w:rPr>
      <w:rFonts w:ascii="Arial" w:hAnsi="Arial" w:eastAsia="黑体"/>
      <w:sz w:val="21"/>
      <w:lang w:bidi="ar-SA"/>
    </w:rPr>
  </w:style>
  <w:style w:type="character" w:customStyle="1" w:styleId="109">
    <w:name w:val="注释标题 字符"/>
    <w:link w:val="16"/>
    <w:qFormat/>
    <w:uiPriority w:val="0"/>
    <w:rPr>
      <w:rFonts w:eastAsia="等线"/>
      <w:sz w:val="22"/>
      <w:szCs w:val="24"/>
      <w:lang w:eastAsia="en-US"/>
    </w:rPr>
  </w:style>
  <w:style w:type="character" w:customStyle="1" w:styleId="110">
    <w:name w:val="电子邮件签名 字符"/>
    <w:link w:val="19"/>
    <w:qFormat/>
    <w:uiPriority w:val="0"/>
    <w:rPr>
      <w:rFonts w:eastAsia="等线"/>
      <w:sz w:val="22"/>
      <w:szCs w:val="24"/>
      <w:lang w:eastAsia="en-US"/>
    </w:rPr>
  </w:style>
  <w:style w:type="character" w:customStyle="1" w:styleId="111">
    <w:name w:val="正文缩进 字符"/>
    <w:link w:val="21"/>
    <w:qFormat/>
    <w:uiPriority w:val="0"/>
    <w:rPr>
      <w:rFonts w:eastAsia="宋体"/>
      <w:kern w:val="2"/>
      <w:sz w:val="21"/>
      <w:szCs w:val="24"/>
      <w:lang w:val="en-US" w:eastAsia="zh-CN" w:bidi="ar-SA"/>
    </w:rPr>
  </w:style>
  <w:style w:type="character" w:customStyle="1" w:styleId="112">
    <w:name w:val="文档结构图 字符"/>
    <w:link w:val="26"/>
    <w:qFormat/>
    <w:uiPriority w:val="0"/>
    <w:rPr>
      <w:rFonts w:ascii="宋体"/>
      <w:kern w:val="2"/>
      <w:sz w:val="18"/>
      <w:szCs w:val="18"/>
      <w:lang w:bidi="ar-SA"/>
    </w:rPr>
  </w:style>
  <w:style w:type="character" w:customStyle="1" w:styleId="113">
    <w:name w:val="批注文字 字符"/>
    <w:link w:val="28"/>
    <w:qFormat/>
    <w:uiPriority w:val="0"/>
    <w:rPr>
      <w:rFonts w:eastAsia="宋体"/>
      <w:kern w:val="2"/>
      <w:sz w:val="21"/>
      <w:szCs w:val="24"/>
      <w:lang w:val="en-US" w:eastAsia="zh-CN" w:bidi="ar-SA"/>
    </w:rPr>
  </w:style>
  <w:style w:type="character" w:customStyle="1" w:styleId="114">
    <w:name w:val="称呼 字符"/>
    <w:link w:val="30"/>
    <w:qFormat/>
    <w:uiPriority w:val="0"/>
    <w:rPr>
      <w:rFonts w:eastAsia="等线"/>
      <w:sz w:val="22"/>
      <w:szCs w:val="24"/>
      <w:lang w:eastAsia="en-US"/>
    </w:rPr>
  </w:style>
  <w:style w:type="character" w:customStyle="1" w:styleId="115">
    <w:name w:val="正文文本 3 字符"/>
    <w:link w:val="31"/>
    <w:qFormat/>
    <w:uiPriority w:val="0"/>
    <w:rPr>
      <w:rFonts w:eastAsia="等线"/>
      <w:sz w:val="16"/>
      <w:szCs w:val="16"/>
      <w:lang w:eastAsia="en-US"/>
    </w:rPr>
  </w:style>
  <w:style w:type="character" w:customStyle="1" w:styleId="116">
    <w:name w:val="结束语 字符"/>
    <w:link w:val="32"/>
    <w:qFormat/>
    <w:uiPriority w:val="0"/>
    <w:rPr>
      <w:rFonts w:eastAsia="等线"/>
      <w:sz w:val="22"/>
      <w:szCs w:val="24"/>
      <w:lang w:eastAsia="en-US"/>
    </w:rPr>
  </w:style>
  <w:style w:type="character" w:customStyle="1" w:styleId="117">
    <w:name w:val="正文文本 字符"/>
    <w:link w:val="34"/>
    <w:qFormat/>
    <w:uiPriority w:val="0"/>
    <w:rPr>
      <w:rFonts w:eastAsia="宋体"/>
      <w:kern w:val="2"/>
      <w:sz w:val="21"/>
      <w:szCs w:val="24"/>
      <w:lang w:val="en-US" w:eastAsia="zh-CN" w:bidi="ar-SA"/>
    </w:rPr>
  </w:style>
  <w:style w:type="character" w:customStyle="1" w:styleId="118">
    <w:name w:val="正文文本缩进 字符"/>
    <w:link w:val="35"/>
    <w:qFormat/>
    <w:uiPriority w:val="99"/>
    <w:rPr>
      <w:rFonts w:eastAsia="宋体"/>
      <w:kern w:val="2"/>
      <w:sz w:val="21"/>
      <w:szCs w:val="24"/>
      <w:lang w:val="en-US" w:eastAsia="zh-CN" w:bidi="ar-SA"/>
    </w:rPr>
  </w:style>
  <w:style w:type="character" w:customStyle="1" w:styleId="119">
    <w:name w:val="HTML 地址 字符"/>
    <w:link w:val="41"/>
    <w:qFormat/>
    <w:uiPriority w:val="0"/>
    <w:rPr>
      <w:rFonts w:eastAsia="等线"/>
      <w:i/>
      <w:iCs/>
      <w:sz w:val="22"/>
      <w:szCs w:val="24"/>
      <w:lang w:eastAsia="en-US"/>
    </w:rPr>
  </w:style>
  <w:style w:type="character" w:customStyle="1" w:styleId="120">
    <w:name w:val="纯文本 字符"/>
    <w:link w:val="45"/>
    <w:qFormat/>
    <w:uiPriority w:val="0"/>
    <w:rPr>
      <w:rFonts w:ascii="宋体" w:hAnsi="Courier New" w:eastAsia="宋体"/>
      <w:kern w:val="2"/>
      <w:sz w:val="21"/>
      <w:lang w:val="en-US" w:eastAsia="zh-CN" w:bidi="ar-SA"/>
    </w:rPr>
  </w:style>
  <w:style w:type="character" w:customStyle="1" w:styleId="121">
    <w:name w:val="日期 字符"/>
    <w:link w:val="50"/>
    <w:qFormat/>
    <w:uiPriority w:val="0"/>
    <w:rPr>
      <w:rFonts w:ascii="宋体" w:hAnsi="宋体"/>
      <w:sz w:val="28"/>
      <w:lang w:bidi="ar-SA"/>
    </w:rPr>
  </w:style>
  <w:style w:type="character" w:customStyle="1" w:styleId="122">
    <w:name w:val="正文文本缩进 2 字符"/>
    <w:link w:val="51"/>
    <w:qFormat/>
    <w:uiPriority w:val="0"/>
    <w:rPr>
      <w:kern w:val="2"/>
      <w:sz w:val="21"/>
      <w:lang w:bidi="ar-SA"/>
    </w:rPr>
  </w:style>
  <w:style w:type="character" w:customStyle="1" w:styleId="123">
    <w:name w:val="尾注文本 字符"/>
    <w:link w:val="52"/>
    <w:qFormat/>
    <w:uiPriority w:val="0"/>
    <w:rPr>
      <w:rFonts w:eastAsia="等线"/>
      <w:lang w:eastAsia="en-US"/>
    </w:rPr>
  </w:style>
  <w:style w:type="character" w:customStyle="1" w:styleId="124">
    <w:name w:val="批注框文本 字符"/>
    <w:link w:val="54"/>
    <w:qFormat/>
    <w:uiPriority w:val="0"/>
    <w:rPr>
      <w:kern w:val="2"/>
      <w:sz w:val="18"/>
      <w:szCs w:val="18"/>
      <w:lang w:bidi="ar-SA"/>
    </w:rPr>
  </w:style>
  <w:style w:type="character" w:customStyle="1" w:styleId="125">
    <w:name w:val="页脚 字符"/>
    <w:link w:val="55"/>
    <w:qFormat/>
    <w:uiPriority w:val="99"/>
    <w:rPr>
      <w:kern w:val="2"/>
      <w:sz w:val="18"/>
      <w:szCs w:val="24"/>
      <w:lang w:bidi="ar-SA"/>
    </w:rPr>
  </w:style>
  <w:style w:type="character" w:customStyle="1" w:styleId="126">
    <w:name w:val="页眉 字符"/>
    <w:link w:val="57"/>
    <w:qFormat/>
    <w:uiPriority w:val="99"/>
    <w:rPr>
      <w:kern w:val="2"/>
      <w:sz w:val="18"/>
      <w:szCs w:val="24"/>
      <w:lang w:bidi="ar-SA"/>
    </w:rPr>
  </w:style>
  <w:style w:type="character" w:customStyle="1" w:styleId="127">
    <w:name w:val="签名 字符"/>
    <w:link w:val="58"/>
    <w:qFormat/>
    <w:uiPriority w:val="0"/>
    <w:rPr>
      <w:rFonts w:eastAsia="等线"/>
      <w:sz w:val="22"/>
      <w:szCs w:val="24"/>
      <w:lang w:eastAsia="en-US"/>
    </w:rPr>
  </w:style>
  <w:style w:type="character" w:customStyle="1" w:styleId="128">
    <w:name w:val="副标题 字符"/>
    <w:link w:val="64"/>
    <w:qFormat/>
    <w:uiPriority w:val="11"/>
    <w:rPr>
      <w:rFonts w:eastAsia="等线"/>
      <w:b/>
      <w:sz w:val="28"/>
      <w:lang w:eastAsia="en-US"/>
    </w:rPr>
  </w:style>
  <w:style w:type="character" w:customStyle="1" w:styleId="129">
    <w:name w:val="脚注文本 字符"/>
    <w:link w:val="67"/>
    <w:qFormat/>
    <w:uiPriority w:val="0"/>
    <w:rPr>
      <w:rFonts w:ascii="Calibri" w:hAnsi="Calibri"/>
      <w:kern w:val="2"/>
      <w:sz w:val="18"/>
      <w:szCs w:val="18"/>
      <w:lang w:bidi="ar-SA"/>
    </w:rPr>
  </w:style>
  <w:style w:type="character" w:customStyle="1" w:styleId="130">
    <w:name w:val="正文文本缩进 3 字符"/>
    <w:link w:val="70"/>
    <w:qFormat/>
    <w:uiPriority w:val="0"/>
    <w:rPr>
      <w:rFonts w:ascii="仿宋_GB2312" w:hAnsi="宋体" w:eastAsia="仿宋_GB2312"/>
      <w:kern w:val="2"/>
      <w:sz w:val="28"/>
      <w:szCs w:val="24"/>
    </w:rPr>
  </w:style>
  <w:style w:type="character" w:customStyle="1" w:styleId="131">
    <w:name w:val="正文文本 2 字符"/>
    <w:link w:val="76"/>
    <w:qFormat/>
    <w:uiPriority w:val="0"/>
    <w:rPr>
      <w:rFonts w:ascii="宋体" w:hAnsi="宋体"/>
      <w:kern w:val="2"/>
      <w:sz w:val="24"/>
      <w:lang w:bidi="ar-SA"/>
    </w:rPr>
  </w:style>
  <w:style w:type="character" w:customStyle="1" w:styleId="132">
    <w:name w:val="信息标题 字符"/>
    <w:link w:val="79"/>
    <w:qFormat/>
    <w:uiPriority w:val="0"/>
    <w:rPr>
      <w:rFonts w:ascii="Arial" w:hAnsi="Arial" w:eastAsia="等线" w:cs="Arial"/>
      <w:sz w:val="24"/>
      <w:szCs w:val="24"/>
      <w:shd w:val="pct20" w:color="auto" w:fill="auto"/>
      <w:lang w:eastAsia="en-US"/>
    </w:rPr>
  </w:style>
  <w:style w:type="character" w:customStyle="1" w:styleId="133">
    <w:name w:val="HTML 预设格式 字符"/>
    <w:link w:val="80"/>
    <w:qFormat/>
    <w:uiPriority w:val="0"/>
    <w:rPr>
      <w:rFonts w:ascii="Courier New" w:hAnsi="Courier New"/>
      <w:kern w:val="2"/>
      <w:lang w:bidi="ar-SA"/>
    </w:rPr>
  </w:style>
  <w:style w:type="character" w:customStyle="1" w:styleId="134">
    <w:name w:val="标题 字符"/>
    <w:link w:val="84"/>
    <w:qFormat/>
    <w:uiPriority w:val="0"/>
    <w:rPr>
      <w:rFonts w:eastAsia="等线"/>
      <w:b/>
      <w:sz w:val="36"/>
      <w:lang w:eastAsia="en-US"/>
    </w:rPr>
  </w:style>
  <w:style w:type="character" w:customStyle="1" w:styleId="135">
    <w:name w:val="批注主题 字符"/>
    <w:link w:val="85"/>
    <w:qFormat/>
    <w:uiPriority w:val="0"/>
    <w:rPr>
      <w:b/>
      <w:bCs/>
      <w:kern w:val="2"/>
      <w:sz w:val="21"/>
      <w:szCs w:val="24"/>
      <w:lang w:bidi="ar-SA"/>
    </w:rPr>
  </w:style>
  <w:style w:type="character" w:customStyle="1" w:styleId="136">
    <w:name w:val="正文文本首行缩进 字符"/>
    <w:link w:val="86"/>
    <w:qFormat/>
    <w:uiPriority w:val="0"/>
    <w:rPr>
      <w:b/>
      <w:kern w:val="2"/>
      <w:sz w:val="24"/>
      <w:szCs w:val="24"/>
      <w:lang w:bidi="ar-SA"/>
    </w:rPr>
  </w:style>
  <w:style w:type="character" w:customStyle="1" w:styleId="137">
    <w:name w:val="正文文本首行缩进 2 字符"/>
    <w:link w:val="87"/>
    <w:qFormat/>
    <w:uiPriority w:val="99"/>
    <w:rPr>
      <w:lang w:val="en-US" w:eastAsia="zh-CN" w:bidi="ar-SA"/>
    </w:rPr>
  </w:style>
  <w:style w:type="paragraph" w:customStyle="1" w:styleId="138">
    <w:name w:val="Char Char Char"/>
    <w:basedOn w:val="1"/>
    <w:qFormat/>
    <w:uiPriority w:val="0"/>
    <w:pPr>
      <w:autoSpaceDN w:val="0"/>
    </w:pPr>
    <w:rPr>
      <w:szCs w:val="20"/>
    </w:rPr>
  </w:style>
  <w:style w:type="paragraph" w:customStyle="1" w:styleId="13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style4"/>
    <w:basedOn w:val="1"/>
    <w:next w:val="141"/>
    <w:qFormat/>
    <w:uiPriority w:val="99"/>
    <w:pPr>
      <w:widowControl/>
      <w:spacing w:before="280" w:after="280"/>
    </w:pPr>
    <w:rPr>
      <w:rFonts w:ascii="宋体"/>
      <w:sz w:val="18"/>
    </w:rPr>
  </w:style>
  <w:style w:type="paragraph" w:customStyle="1" w:styleId="14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142">
    <w:name w:val="正文文本 2 Char2"/>
    <w:link w:val="143"/>
    <w:qFormat/>
    <w:uiPriority w:val="99"/>
    <w:rPr>
      <w:rFonts w:ascii="Calibri" w:hAnsi="Calibri"/>
      <w:szCs w:val="21"/>
      <w:lang w:bidi="ar-SA"/>
    </w:rPr>
  </w:style>
  <w:style w:type="paragraph" w:customStyle="1" w:styleId="143">
    <w:name w:val="正文文本 21"/>
    <w:basedOn w:val="1"/>
    <w:link w:val="142"/>
    <w:qFormat/>
    <w:uiPriority w:val="99"/>
    <w:pPr>
      <w:spacing w:before="280" w:after="120" w:line="480" w:lineRule="auto"/>
      <w:ind w:left="420" w:hanging="420"/>
    </w:pPr>
    <w:rPr>
      <w:kern w:val="0"/>
      <w:sz w:val="20"/>
      <w:szCs w:val="21"/>
    </w:rPr>
  </w:style>
  <w:style w:type="character" w:customStyle="1" w:styleId="144">
    <w:name w:val="纯文本 Char4"/>
    <w:semiHidden/>
    <w:qFormat/>
    <w:uiPriority w:val="99"/>
    <w:rPr>
      <w:rFonts w:hint="eastAsia" w:ascii="宋体" w:hAnsi="Courier New" w:eastAsia="宋体" w:cs="Courier New"/>
      <w:szCs w:val="21"/>
    </w:rPr>
  </w:style>
  <w:style w:type="character" w:customStyle="1" w:styleId="145">
    <w:name w:val="font01"/>
    <w:qFormat/>
    <w:uiPriority w:val="0"/>
    <w:rPr>
      <w:rFonts w:hint="eastAsia" w:ascii="宋体" w:hAnsi="宋体" w:eastAsia="宋体" w:cs="宋体"/>
      <w:color w:val="000000"/>
      <w:sz w:val="22"/>
      <w:szCs w:val="22"/>
      <w:u w:val="none"/>
    </w:rPr>
  </w:style>
  <w:style w:type="character" w:customStyle="1" w:styleId="146">
    <w:name w:val="标题 1 Char Char"/>
    <w:qFormat/>
    <w:uiPriority w:val="0"/>
    <w:rPr>
      <w:rFonts w:eastAsia="宋体"/>
      <w:b/>
      <w:spacing w:val="-2"/>
      <w:sz w:val="24"/>
      <w:lang w:val="en-US" w:eastAsia="zh-CN"/>
    </w:rPr>
  </w:style>
  <w:style w:type="character" w:customStyle="1" w:styleId="147">
    <w:name w:val="副标题 Char1"/>
    <w:qFormat/>
    <w:uiPriority w:val="0"/>
    <w:rPr>
      <w:rFonts w:hint="eastAsia" w:ascii="等线 Light" w:hAnsi="等线 Light" w:eastAsia="宋体" w:cs="Times New Roman"/>
      <w:b/>
      <w:bCs/>
      <w:kern w:val="28"/>
      <w:sz w:val="32"/>
      <w:szCs w:val="32"/>
    </w:rPr>
  </w:style>
  <w:style w:type="character" w:customStyle="1" w:styleId="148">
    <w:name w:val="批注文字 Char2"/>
    <w:semiHidden/>
    <w:qFormat/>
    <w:uiPriority w:val="99"/>
    <w:rPr>
      <w:rFonts w:hint="default" w:ascii="Times New Roman" w:hAnsi="Times New Roman" w:eastAsia="宋体" w:cs="Times New Roman"/>
      <w:szCs w:val="20"/>
    </w:rPr>
  </w:style>
  <w:style w:type="character" w:customStyle="1" w:styleId="149">
    <w:name w:val="正文文本 Char2"/>
    <w:semiHidden/>
    <w:qFormat/>
    <w:uiPriority w:val="99"/>
    <w:rPr>
      <w:rFonts w:hint="default" w:ascii="Times New Roman" w:hAnsi="Times New Roman" w:eastAsia="宋体" w:cs="Times New Roman"/>
      <w:szCs w:val="20"/>
    </w:rPr>
  </w:style>
  <w:style w:type="character" w:customStyle="1" w:styleId="150">
    <w:name w:val="font31"/>
    <w:qFormat/>
    <w:uiPriority w:val="0"/>
    <w:rPr>
      <w:rFonts w:hint="eastAsia" w:ascii="宋体" w:hAnsi="宋体" w:eastAsia="宋体" w:cs="宋体"/>
      <w:color w:val="000000"/>
      <w:sz w:val="22"/>
      <w:szCs w:val="22"/>
      <w:u w:val="none"/>
    </w:rPr>
  </w:style>
  <w:style w:type="character" w:customStyle="1" w:styleId="151">
    <w:name w:val="font71"/>
    <w:qFormat/>
    <w:uiPriority w:val="0"/>
    <w:rPr>
      <w:rFonts w:hint="eastAsia" w:ascii="宋体" w:hAnsi="宋体" w:eastAsia="宋体" w:cs="宋体"/>
      <w:b/>
      <w:color w:val="000000"/>
      <w:sz w:val="40"/>
      <w:szCs w:val="40"/>
      <w:u w:val="none"/>
    </w:rPr>
  </w:style>
  <w:style w:type="character" w:customStyle="1" w:styleId="152">
    <w:name w:val="FooterTxt"/>
    <w:qFormat/>
    <w:uiPriority w:val="0"/>
    <w:rPr>
      <w:sz w:val="14"/>
    </w:rPr>
  </w:style>
  <w:style w:type="character" w:customStyle="1" w:styleId="153">
    <w:name w:val="日期 Char3"/>
    <w:semiHidden/>
    <w:qFormat/>
    <w:uiPriority w:val="99"/>
    <w:rPr>
      <w:rFonts w:hint="default" w:ascii="Times New Roman" w:hAnsi="Times New Roman" w:eastAsia="宋体" w:cs="Times New Roman"/>
      <w:szCs w:val="20"/>
    </w:rPr>
  </w:style>
  <w:style w:type="character" w:customStyle="1" w:styleId="154">
    <w:name w:val="正文缩进2格 Char"/>
    <w:qFormat/>
    <w:uiPriority w:val="0"/>
    <w:rPr>
      <w:rFonts w:ascii="仿宋_GB2312" w:hAnsi="宋体" w:eastAsia="仿宋_GB2312"/>
      <w:kern w:val="2"/>
      <w:sz w:val="31"/>
      <w:szCs w:val="28"/>
      <w:lang w:val="en-US" w:eastAsia="zh-CN" w:bidi="ar-SA"/>
    </w:rPr>
  </w:style>
  <w:style w:type="character" w:customStyle="1" w:styleId="155">
    <w:name w:val="正文缩进2格 Char Char"/>
    <w:link w:val="156"/>
    <w:qFormat/>
    <w:uiPriority w:val="0"/>
    <w:rPr>
      <w:rFonts w:ascii="仿宋_GB2312" w:hAnsi="宋体" w:eastAsia="仿宋_GB2312"/>
      <w:kern w:val="2"/>
      <w:sz w:val="31"/>
      <w:szCs w:val="28"/>
      <w:lang w:val="en-US" w:eastAsia="zh-CN" w:bidi="ar-SA"/>
    </w:rPr>
  </w:style>
  <w:style w:type="paragraph" w:customStyle="1" w:styleId="156">
    <w:name w:val="正文缩进2格"/>
    <w:basedOn w:val="1"/>
    <w:link w:val="155"/>
    <w:qFormat/>
    <w:uiPriority w:val="0"/>
    <w:pPr>
      <w:spacing w:line="600" w:lineRule="exact"/>
      <w:ind w:firstLine="639" w:firstLineChars="206"/>
    </w:pPr>
    <w:rPr>
      <w:rFonts w:ascii="仿宋_GB2312" w:hAnsi="宋体" w:eastAsia="仿宋_GB2312"/>
      <w:sz w:val="31"/>
      <w:szCs w:val="28"/>
    </w:rPr>
  </w:style>
  <w:style w:type="character" w:customStyle="1" w:styleId="157">
    <w:name w:val="Body Char"/>
    <w:link w:val="158"/>
    <w:qFormat/>
    <w:locked/>
    <w:uiPriority w:val="0"/>
    <w:rPr>
      <w:rFonts w:ascii="Futura Lt BT" w:hAnsi="Futura Lt BT" w:eastAsia="等线"/>
      <w:color w:val="333333"/>
      <w:spacing w:val="-6"/>
      <w:sz w:val="22"/>
      <w:szCs w:val="24"/>
      <w:lang w:eastAsia="en-US"/>
    </w:rPr>
  </w:style>
  <w:style w:type="paragraph" w:customStyle="1" w:styleId="158">
    <w:name w:val="Body"/>
    <w:basedOn w:val="1"/>
    <w:link w:val="157"/>
    <w:qFormat/>
    <w:uiPriority w:val="0"/>
    <w:pPr>
      <w:widowControl/>
      <w:autoSpaceDN w:val="0"/>
      <w:spacing w:before="120" w:after="120"/>
    </w:pPr>
    <w:rPr>
      <w:rFonts w:ascii="Futura Lt BT" w:hAnsi="Futura Lt BT" w:eastAsia="等线" w:cs="Times New Roman"/>
      <w:color w:val="333333"/>
      <w:spacing w:val="-6"/>
      <w:kern w:val="0"/>
      <w:sz w:val="22"/>
      <w:lang w:eastAsia="en-US"/>
    </w:rPr>
  </w:style>
  <w:style w:type="character" w:customStyle="1" w:styleId="159">
    <w:name w:val="日期 Char2"/>
    <w:qFormat/>
    <w:uiPriority w:val="0"/>
    <w:rPr>
      <w:kern w:val="2"/>
      <w:sz w:val="21"/>
    </w:rPr>
  </w:style>
  <w:style w:type="character" w:customStyle="1" w:styleId="160">
    <w:name w:val="批注主题 Char2"/>
    <w:semiHidden/>
    <w:qFormat/>
    <w:uiPriority w:val="99"/>
    <w:rPr>
      <w:rFonts w:hint="default" w:ascii="Times New Roman" w:hAnsi="Times New Roman" w:eastAsia="宋体" w:cs="Times New Roman"/>
      <w:b/>
      <w:bCs/>
      <w:szCs w:val="20"/>
    </w:rPr>
  </w:style>
  <w:style w:type="character" w:customStyle="1" w:styleId="161">
    <w:name w:val="font11"/>
    <w:qFormat/>
    <w:uiPriority w:val="0"/>
    <w:rPr>
      <w:rFonts w:hint="eastAsia" w:ascii="宋体" w:hAnsi="宋体" w:eastAsia="宋体" w:cs="宋体"/>
      <w:color w:val="000000"/>
      <w:sz w:val="24"/>
      <w:szCs w:val="24"/>
      <w:u w:val="none"/>
    </w:rPr>
  </w:style>
  <w:style w:type="character" w:customStyle="1" w:styleId="162">
    <w:name w:val="font61"/>
    <w:qFormat/>
    <w:uiPriority w:val="0"/>
    <w:rPr>
      <w:rFonts w:hint="eastAsia" w:ascii="宋体" w:hAnsi="宋体" w:eastAsia="宋体" w:cs="宋体"/>
      <w:b/>
      <w:color w:val="000000"/>
      <w:sz w:val="24"/>
      <w:szCs w:val="24"/>
      <w:u w:val="none"/>
    </w:rPr>
  </w:style>
  <w:style w:type="character" w:customStyle="1" w:styleId="163">
    <w:name w:val="16"/>
    <w:qFormat/>
    <w:uiPriority w:val="0"/>
    <w:rPr>
      <w:rFonts w:hint="default" w:ascii="Calibri" w:hAnsi="Calibri" w:cs="Calibri"/>
      <w:color w:val="0000FF"/>
      <w:u w:val="single"/>
    </w:rPr>
  </w:style>
  <w:style w:type="character" w:customStyle="1" w:styleId="164">
    <w:name w:val="纯文本 Char1"/>
    <w:qFormat/>
    <w:uiPriority w:val="0"/>
    <w:rPr>
      <w:rFonts w:hint="eastAsia" w:ascii="宋体" w:hAnsi="Courier New" w:eastAsia="宋体"/>
      <w:kern w:val="2"/>
      <w:sz w:val="21"/>
    </w:rPr>
  </w:style>
  <w:style w:type="character" w:customStyle="1" w:styleId="165">
    <w:name w:val="批注框文本 Char1"/>
    <w:semiHidden/>
    <w:qFormat/>
    <w:uiPriority w:val="99"/>
    <w:rPr>
      <w:rFonts w:hint="default" w:ascii="Times New Roman" w:hAnsi="Times New Roman" w:eastAsia="宋体" w:cs="Times New Roman"/>
      <w:sz w:val="18"/>
      <w:szCs w:val="18"/>
    </w:rPr>
  </w:style>
  <w:style w:type="character" w:customStyle="1" w:styleId="166">
    <w:name w:val="批注主题 Char1"/>
    <w:qFormat/>
    <w:uiPriority w:val="0"/>
    <w:rPr>
      <w:b/>
      <w:bCs/>
      <w:kern w:val="2"/>
      <w:sz w:val="21"/>
    </w:rPr>
  </w:style>
  <w:style w:type="character" w:customStyle="1" w:styleId="167">
    <w:name w:val="正文文本 2 Char1"/>
    <w:qFormat/>
    <w:uiPriority w:val="0"/>
    <w:rPr>
      <w:kern w:val="2"/>
      <w:sz w:val="21"/>
    </w:rPr>
  </w:style>
  <w:style w:type="character" w:customStyle="1" w:styleId="168">
    <w:name w:val="font41"/>
    <w:qFormat/>
    <w:uiPriority w:val="0"/>
    <w:rPr>
      <w:rFonts w:hint="eastAsia" w:ascii="宋体" w:hAnsi="宋体" w:eastAsia="宋体" w:cs="宋体"/>
      <w:color w:val="000000"/>
      <w:sz w:val="22"/>
      <w:szCs w:val="22"/>
      <w:u w:val="none"/>
    </w:rPr>
  </w:style>
  <w:style w:type="character" w:customStyle="1" w:styleId="169">
    <w:name w:val="正文文本 Char1"/>
    <w:qFormat/>
    <w:uiPriority w:val="0"/>
    <w:rPr>
      <w:kern w:val="2"/>
      <w:sz w:val="21"/>
    </w:rPr>
  </w:style>
  <w:style w:type="character" w:customStyle="1" w:styleId="170">
    <w:name w:val="style1"/>
    <w:qFormat/>
    <w:uiPriority w:val="0"/>
  </w:style>
  <w:style w:type="character" w:customStyle="1" w:styleId="171">
    <w:name w:val="flName Char"/>
    <w:link w:val="172"/>
    <w:qFormat/>
    <w:locked/>
    <w:uiPriority w:val="0"/>
    <w:rPr>
      <w:rFonts w:ascii="Arial" w:hAnsi="Arial" w:eastAsia="黑体"/>
      <w:sz w:val="32"/>
      <w:lang w:bidi="ar-SA"/>
    </w:rPr>
  </w:style>
  <w:style w:type="paragraph" w:customStyle="1" w:styleId="172">
    <w:name w:val="flName"/>
    <w:basedOn w:val="1"/>
    <w:link w:val="171"/>
    <w:qFormat/>
    <w:uiPriority w:val="0"/>
    <w:pPr>
      <w:adjustRightInd w:val="0"/>
      <w:spacing w:before="320" w:after="160" w:line="360" w:lineRule="atLeast"/>
      <w:jc w:val="center"/>
    </w:pPr>
    <w:rPr>
      <w:rFonts w:ascii="Arial" w:hAnsi="Arial" w:eastAsia="黑体"/>
      <w:kern w:val="0"/>
      <w:sz w:val="32"/>
      <w:szCs w:val="20"/>
    </w:rPr>
  </w:style>
  <w:style w:type="character" w:customStyle="1" w:styleId="173">
    <w:name w:val="HTML 预设格式 Char1"/>
    <w:qFormat/>
    <w:locked/>
    <w:uiPriority w:val="0"/>
    <w:rPr>
      <w:rFonts w:ascii="Courier New" w:hAnsi="Courier New" w:eastAsia="宋体" w:cs="Times New Roman"/>
      <w:kern w:val="0"/>
      <w:sz w:val="20"/>
      <w:szCs w:val="20"/>
    </w:rPr>
  </w:style>
  <w:style w:type="character" w:customStyle="1" w:styleId="174">
    <w:name w:val="font51"/>
    <w:qFormat/>
    <w:uiPriority w:val="0"/>
    <w:rPr>
      <w:rFonts w:hint="eastAsia" w:ascii="宋体" w:hAnsi="宋体" w:eastAsia="宋体" w:cs="宋体"/>
      <w:color w:val="000000"/>
      <w:sz w:val="22"/>
      <w:szCs w:val="22"/>
      <w:u w:val="none"/>
    </w:rPr>
  </w:style>
  <w:style w:type="character" w:customStyle="1" w:styleId="175">
    <w:name w:val="纯文本 Char2"/>
    <w:qFormat/>
    <w:uiPriority w:val="0"/>
    <w:rPr>
      <w:rFonts w:hint="eastAsia" w:ascii="宋体" w:hAnsi="Courier New" w:eastAsia="宋体" w:cs="Courier New"/>
      <w:szCs w:val="21"/>
    </w:rPr>
  </w:style>
  <w:style w:type="character" w:styleId="176">
    <w:name w:val="Placeholder Text"/>
    <w:semiHidden/>
    <w:qFormat/>
    <w:uiPriority w:val="99"/>
    <w:rPr>
      <w:color w:val="808080"/>
    </w:rPr>
  </w:style>
  <w:style w:type="character" w:customStyle="1" w:styleId="177">
    <w:name w:val="正文缩进 Char"/>
    <w:qFormat/>
    <w:uiPriority w:val="0"/>
    <w:rPr>
      <w:rFonts w:eastAsia="宋体"/>
      <w:kern w:val="2"/>
      <w:sz w:val="21"/>
      <w:szCs w:val="24"/>
      <w:lang w:val="en-US" w:eastAsia="zh-CN" w:bidi="ar-SA"/>
    </w:rPr>
  </w:style>
  <w:style w:type="character" w:customStyle="1" w:styleId="178">
    <w:name w:val="Style Heading 3 + Char"/>
    <w:link w:val="179"/>
    <w:qFormat/>
    <w:uiPriority w:val="0"/>
    <w:rPr>
      <w:b/>
      <w:kern w:val="2"/>
      <w:sz w:val="28"/>
      <w:lang w:bidi="ar-SA"/>
    </w:rPr>
  </w:style>
  <w:style w:type="paragraph" w:customStyle="1" w:styleId="179">
    <w:name w:val="Style Heading 3 +"/>
    <w:basedOn w:val="5"/>
    <w:link w:val="178"/>
    <w:qFormat/>
    <w:uiPriority w:val="0"/>
    <w:pPr>
      <w:spacing w:before="120" w:after="120" w:line="120" w:lineRule="atLeast"/>
    </w:pPr>
    <w:rPr>
      <w:bCs w:val="0"/>
      <w:sz w:val="28"/>
      <w:szCs w:val="20"/>
    </w:rPr>
  </w:style>
  <w:style w:type="character" w:customStyle="1" w:styleId="180">
    <w:name w:val="正文文本缩进 Char1"/>
    <w:semiHidden/>
    <w:qFormat/>
    <w:uiPriority w:val="99"/>
    <w:rPr>
      <w:rFonts w:hint="default" w:ascii="Times New Roman" w:hAnsi="Times New Roman" w:eastAsia="宋体" w:cs="Times New Roman"/>
      <w:szCs w:val="20"/>
    </w:rPr>
  </w:style>
  <w:style w:type="character" w:customStyle="1" w:styleId="181">
    <w:name w:val="纯文本 Char3"/>
    <w:qFormat/>
    <w:uiPriority w:val="0"/>
    <w:rPr>
      <w:rFonts w:hint="eastAsia" w:ascii="宋体" w:hAnsi="Courier New" w:eastAsia="宋体" w:cs="Courier New"/>
      <w:kern w:val="2"/>
      <w:sz w:val="21"/>
      <w:szCs w:val="21"/>
    </w:rPr>
  </w:style>
  <w:style w:type="character" w:customStyle="1" w:styleId="182">
    <w:name w:val="正文文本缩进 2 Char2"/>
    <w:semiHidden/>
    <w:qFormat/>
    <w:uiPriority w:val="99"/>
    <w:rPr>
      <w:rFonts w:hint="default" w:ascii="Times New Roman" w:hAnsi="Times New Roman" w:eastAsia="宋体" w:cs="Times New Roman"/>
      <w:szCs w:val="20"/>
    </w:rPr>
  </w:style>
  <w:style w:type="character" w:customStyle="1" w:styleId="183">
    <w:name w:val="二级目录 Char"/>
    <w:link w:val="184"/>
    <w:qFormat/>
    <w:locked/>
    <w:uiPriority w:val="99"/>
    <w:rPr>
      <w:b/>
      <w:bCs/>
      <w:kern w:val="2"/>
      <w:sz w:val="30"/>
      <w:szCs w:val="30"/>
      <w:lang w:val="en-US" w:eastAsia="zh-CN" w:bidi="ar-SA"/>
    </w:rPr>
  </w:style>
  <w:style w:type="paragraph" w:customStyle="1" w:styleId="184">
    <w:name w:val="二级目录"/>
    <w:next w:val="1"/>
    <w:link w:val="183"/>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character" w:customStyle="1" w:styleId="185">
    <w:name w:val="日期 Char1"/>
    <w:qFormat/>
    <w:uiPriority w:val="0"/>
    <w:rPr>
      <w:rFonts w:hint="default" w:ascii="Times New Roman" w:hAnsi="Times New Roman" w:eastAsia="宋体" w:cs="Times New Roman"/>
      <w:szCs w:val="20"/>
    </w:rPr>
  </w:style>
  <w:style w:type="character" w:customStyle="1" w:styleId="186">
    <w:name w:val="DeltaView Insertion"/>
    <w:qFormat/>
    <w:uiPriority w:val="0"/>
    <w:rPr>
      <w:b/>
      <w:bCs/>
      <w:color w:val="000000"/>
      <w:spacing w:val="0"/>
      <w:u w:val="double"/>
    </w:rPr>
  </w:style>
  <w:style w:type="character" w:customStyle="1" w:styleId="187">
    <w:name w:val="Char Char4"/>
    <w:qFormat/>
    <w:uiPriority w:val="0"/>
    <w:rPr>
      <w:rFonts w:eastAsia="宋体"/>
      <w:kern w:val="2"/>
      <w:sz w:val="21"/>
      <w:szCs w:val="24"/>
      <w:lang w:val="en-US" w:eastAsia="zh-CN" w:bidi="ar-SA"/>
    </w:rPr>
  </w:style>
  <w:style w:type="character" w:customStyle="1" w:styleId="188">
    <w:name w:val="正文文本缩进 3 Char1"/>
    <w:qFormat/>
    <w:uiPriority w:val="0"/>
    <w:rPr>
      <w:kern w:val="2"/>
      <w:sz w:val="16"/>
      <w:szCs w:val="16"/>
    </w:rPr>
  </w:style>
  <w:style w:type="character" w:customStyle="1" w:styleId="189">
    <w:name w:val="main_tdbg_760"/>
    <w:qFormat/>
    <w:uiPriority w:val="0"/>
  </w:style>
  <w:style w:type="character" w:customStyle="1" w:styleId="190">
    <w:name w:val="正文文本缩进 3 Char2"/>
    <w:semiHidden/>
    <w:qFormat/>
    <w:uiPriority w:val="99"/>
    <w:rPr>
      <w:rFonts w:hint="default" w:ascii="Times New Roman" w:hAnsi="Times New Roman" w:eastAsia="宋体" w:cs="Times New Roman"/>
      <w:sz w:val="16"/>
      <w:szCs w:val="16"/>
    </w:rPr>
  </w:style>
  <w:style w:type="character" w:customStyle="1" w:styleId="191">
    <w:name w:val="font21"/>
    <w:qFormat/>
    <w:uiPriority w:val="0"/>
    <w:rPr>
      <w:rFonts w:hint="eastAsia" w:ascii="宋体" w:hAnsi="宋体" w:eastAsia="宋体" w:cs="宋体"/>
      <w:color w:val="000000"/>
      <w:sz w:val="22"/>
      <w:szCs w:val="22"/>
      <w:u w:val="none"/>
    </w:rPr>
  </w:style>
  <w:style w:type="character" w:customStyle="1" w:styleId="192">
    <w:name w:val="批注文字 Char1"/>
    <w:qFormat/>
    <w:uiPriority w:val="0"/>
    <w:rPr>
      <w:kern w:val="2"/>
      <w:sz w:val="21"/>
    </w:rPr>
  </w:style>
  <w:style w:type="character" w:customStyle="1" w:styleId="193">
    <w:name w:val="SJB Level 1 as heading (text)"/>
    <w:qFormat/>
    <w:uiPriority w:val="0"/>
    <w:rPr>
      <w:b/>
    </w:rPr>
  </w:style>
  <w:style w:type="character" w:customStyle="1" w:styleId="194">
    <w:name w:val="正文文本缩进 2 Char1"/>
    <w:qFormat/>
    <w:uiPriority w:val="0"/>
    <w:rPr>
      <w:kern w:val="2"/>
      <w:sz w:val="21"/>
    </w:rPr>
  </w:style>
  <w:style w:type="character" w:customStyle="1" w:styleId="195">
    <w:name w:val="无间隔 字符"/>
    <w:link w:val="196"/>
    <w:qFormat/>
    <w:uiPriority w:val="0"/>
    <w:rPr>
      <w:rFonts w:eastAsia="Times New Roman"/>
      <w:kern w:val="2"/>
      <w:sz w:val="22"/>
      <w:szCs w:val="22"/>
      <w:lang w:val="en-US" w:eastAsia="zh-CN" w:bidi="ar-SA"/>
    </w:rPr>
  </w:style>
  <w:style w:type="paragraph" w:styleId="196">
    <w:name w:val="No Spacing"/>
    <w:link w:val="195"/>
    <w:qFormat/>
    <w:uiPriority w:val="0"/>
    <w:rPr>
      <w:rFonts w:ascii="Times New Roman" w:hAnsi="Times New Roman" w:eastAsia="Times New Roman" w:cs="Times New Roman"/>
      <w:kern w:val="2"/>
      <w:sz w:val="22"/>
      <w:szCs w:val="22"/>
      <w:lang w:val="en-US" w:eastAsia="zh-CN" w:bidi="ar-SA"/>
    </w:rPr>
  </w:style>
  <w:style w:type="paragraph" w:customStyle="1" w:styleId="197">
    <w:name w:val="2/2"/>
    <w:basedOn w:val="198"/>
    <w:qFormat/>
    <w:uiPriority w:val="0"/>
    <w:pPr>
      <w:ind w:left="2880" w:firstLine="0"/>
    </w:pPr>
    <w:rPr>
      <w:rFonts w:eastAsia="等线"/>
    </w:rPr>
  </w:style>
  <w:style w:type="paragraph" w:customStyle="1" w:styleId="198">
    <w:name w:val=".5/0s"/>
    <w:basedOn w:val="1"/>
    <w:qFormat/>
    <w:uiPriority w:val="0"/>
    <w:pPr>
      <w:widowControl/>
      <w:overflowPunct w:val="0"/>
      <w:autoSpaceDE w:val="0"/>
      <w:autoSpaceDN w:val="0"/>
      <w:adjustRightInd w:val="0"/>
      <w:spacing w:after="240"/>
      <w:ind w:firstLine="720"/>
    </w:pPr>
    <w:rPr>
      <w:rFonts w:eastAsia="等线"/>
      <w:kern w:val="0"/>
      <w:sz w:val="24"/>
      <w:szCs w:val="20"/>
      <w:lang w:eastAsia="en-US"/>
    </w:rPr>
  </w:style>
  <w:style w:type="paragraph" w:customStyle="1" w:styleId="199">
    <w:name w:val="Indent Hanging"/>
    <w:basedOn w:val="1"/>
    <w:qFormat/>
    <w:uiPriority w:val="0"/>
    <w:pPr>
      <w:widowControl/>
      <w:autoSpaceDN w:val="0"/>
      <w:spacing w:before="240" w:after="120"/>
      <w:ind w:left="1440" w:hanging="720"/>
    </w:pPr>
    <w:rPr>
      <w:rFonts w:eastAsia="等线"/>
      <w:kern w:val="0"/>
      <w:sz w:val="24"/>
      <w:szCs w:val="20"/>
      <w:lang w:eastAsia="en-US"/>
    </w:rPr>
  </w:style>
  <w:style w:type="paragraph" w:customStyle="1" w:styleId="200">
    <w:name w:val="Standard_L7"/>
    <w:basedOn w:val="201"/>
    <w:next w:val="34"/>
    <w:qFormat/>
    <w:uiPriority w:val="0"/>
    <w:pPr>
      <w:numPr>
        <w:ilvl w:val="6"/>
        <w:numId w:val="11"/>
      </w:numPr>
      <w:tabs>
        <w:tab w:val="left" w:pos="720"/>
        <w:tab w:val="left" w:pos="1440"/>
        <w:tab w:val="left" w:pos="2160"/>
        <w:tab w:val="left" w:pos="2880"/>
        <w:tab w:val="left" w:pos="3600"/>
        <w:tab w:val="left" w:pos="4320"/>
      </w:tabs>
      <w:outlineLvl w:val="6"/>
    </w:pPr>
    <w:rPr>
      <w:rFonts w:eastAsia="等线"/>
    </w:rPr>
  </w:style>
  <w:style w:type="paragraph" w:customStyle="1" w:styleId="201">
    <w:name w:val="Standard_L6"/>
    <w:basedOn w:val="202"/>
    <w:next w:val="34"/>
    <w:qFormat/>
    <w:uiPriority w:val="0"/>
    <w:pPr>
      <w:numPr>
        <w:ilvl w:val="5"/>
        <w:numId w:val="11"/>
      </w:numPr>
      <w:tabs>
        <w:tab w:val="left" w:pos="720"/>
        <w:tab w:val="left" w:pos="1440"/>
        <w:tab w:val="left" w:pos="2160"/>
        <w:tab w:val="left" w:pos="2880"/>
        <w:tab w:val="left" w:pos="3600"/>
      </w:tabs>
      <w:outlineLvl w:val="5"/>
    </w:pPr>
    <w:rPr>
      <w:rFonts w:eastAsia="等线"/>
    </w:rPr>
  </w:style>
  <w:style w:type="paragraph" w:customStyle="1" w:styleId="202">
    <w:name w:val="Standard_L5"/>
    <w:basedOn w:val="203"/>
    <w:next w:val="34"/>
    <w:qFormat/>
    <w:uiPriority w:val="0"/>
    <w:pPr>
      <w:numPr>
        <w:ilvl w:val="4"/>
        <w:numId w:val="11"/>
      </w:numPr>
      <w:tabs>
        <w:tab w:val="left" w:pos="720"/>
        <w:tab w:val="left" w:pos="1440"/>
        <w:tab w:val="left" w:pos="2160"/>
        <w:tab w:val="left" w:pos="2880"/>
      </w:tabs>
      <w:outlineLvl w:val="4"/>
    </w:pPr>
    <w:rPr>
      <w:rFonts w:eastAsia="等线"/>
    </w:rPr>
  </w:style>
  <w:style w:type="paragraph" w:customStyle="1" w:styleId="203">
    <w:name w:val="Standard_L4"/>
    <w:basedOn w:val="204"/>
    <w:next w:val="34"/>
    <w:qFormat/>
    <w:uiPriority w:val="0"/>
    <w:pPr>
      <w:numPr>
        <w:ilvl w:val="3"/>
        <w:numId w:val="11"/>
      </w:numPr>
      <w:tabs>
        <w:tab w:val="left" w:pos="720"/>
        <w:tab w:val="left" w:pos="1440"/>
        <w:tab w:val="left" w:pos="2160"/>
      </w:tabs>
      <w:outlineLvl w:val="3"/>
    </w:pPr>
    <w:rPr>
      <w:rFonts w:eastAsia="等线"/>
    </w:rPr>
  </w:style>
  <w:style w:type="paragraph" w:customStyle="1" w:styleId="204">
    <w:name w:val="Standard_L3"/>
    <w:basedOn w:val="205"/>
    <w:next w:val="34"/>
    <w:qFormat/>
    <w:uiPriority w:val="0"/>
    <w:pPr>
      <w:numPr>
        <w:ilvl w:val="2"/>
        <w:numId w:val="11"/>
      </w:numPr>
      <w:tabs>
        <w:tab w:val="left" w:pos="720"/>
        <w:tab w:val="left" w:pos="1440"/>
      </w:tabs>
      <w:outlineLvl w:val="2"/>
    </w:pPr>
    <w:rPr>
      <w:rFonts w:eastAsia="等线"/>
    </w:rPr>
  </w:style>
  <w:style w:type="paragraph" w:customStyle="1" w:styleId="205">
    <w:name w:val="Standard_L2"/>
    <w:basedOn w:val="206"/>
    <w:next w:val="34"/>
    <w:qFormat/>
    <w:uiPriority w:val="0"/>
    <w:pPr>
      <w:numPr>
        <w:ilvl w:val="1"/>
        <w:numId w:val="11"/>
      </w:numPr>
      <w:tabs>
        <w:tab w:val="left" w:pos="720"/>
      </w:tabs>
      <w:outlineLvl w:val="1"/>
    </w:pPr>
    <w:rPr>
      <w:rFonts w:eastAsia="等线"/>
    </w:rPr>
  </w:style>
  <w:style w:type="paragraph" w:customStyle="1" w:styleId="206">
    <w:name w:val="Standard_L1"/>
    <w:basedOn w:val="1"/>
    <w:next w:val="34"/>
    <w:qFormat/>
    <w:uiPriority w:val="0"/>
    <w:pPr>
      <w:widowControl/>
      <w:numPr>
        <w:ilvl w:val="0"/>
        <w:numId w:val="11"/>
      </w:numPr>
      <w:autoSpaceDE w:val="0"/>
      <w:autoSpaceDN w:val="0"/>
      <w:adjustRightInd w:val="0"/>
      <w:spacing w:after="240"/>
      <w:jc w:val="left"/>
      <w:outlineLvl w:val="0"/>
    </w:pPr>
    <w:rPr>
      <w:rFonts w:eastAsia="等线"/>
      <w:kern w:val="0"/>
      <w:sz w:val="24"/>
      <w:szCs w:val="20"/>
      <w:lang w:eastAsia="en-US"/>
    </w:rPr>
  </w:style>
  <w:style w:type="paragraph" w:customStyle="1" w:styleId="207">
    <w:name w:val="正文文本缩进1"/>
    <w:basedOn w:val="1"/>
    <w:qFormat/>
    <w:uiPriority w:val="0"/>
    <w:pPr>
      <w:autoSpaceDN w:val="0"/>
      <w:ind w:left="359" w:leftChars="171"/>
    </w:pPr>
    <w:rPr>
      <w:sz w:val="24"/>
      <w:szCs w:val="20"/>
    </w:rPr>
  </w:style>
  <w:style w:type="paragraph" w:customStyle="1" w:styleId="208">
    <w:name w:val="GlossaryHeading"/>
    <w:basedOn w:val="1"/>
    <w:qFormat/>
    <w:uiPriority w:val="0"/>
    <w:pPr>
      <w:widowControl/>
      <w:autoSpaceDE w:val="0"/>
      <w:autoSpaceDN w:val="0"/>
      <w:adjustRightInd w:val="0"/>
      <w:spacing w:before="240" w:after="120"/>
    </w:pPr>
    <w:rPr>
      <w:rFonts w:ascii="Futura Bk BT" w:hAnsi="Futura Bk BT" w:eastAsia="等线"/>
      <w:b/>
      <w:bCs/>
      <w:color w:val="000000"/>
      <w:spacing w:val="-6"/>
      <w:kern w:val="0"/>
      <w:sz w:val="22"/>
      <w:szCs w:val="20"/>
      <w:lang w:val="en-CA" w:eastAsia="en-US"/>
    </w:rPr>
  </w:style>
  <w:style w:type="paragraph" w:customStyle="1" w:styleId="209">
    <w:name w:val="简单回函地址"/>
    <w:basedOn w:val="1"/>
    <w:qFormat/>
    <w:uiPriority w:val="0"/>
    <w:rPr>
      <w:szCs w:val="20"/>
    </w:rPr>
  </w:style>
  <w:style w:type="paragraph" w:customStyle="1" w:styleId="210">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11">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12">
    <w:name w:val="页眉1"/>
    <w:basedOn w:val="1"/>
    <w:qFormat/>
    <w:uiPriority w:val="0"/>
    <w:pPr>
      <w:pBdr>
        <w:bottom w:val="single" w:color="auto" w:sz="6" w:space="1"/>
      </w:pBdr>
      <w:tabs>
        <w:tab w:val="center" w:pos="4153"/>
        <w:tab w:val="right" w:pos="8306"/>
      </w:tabs>
      <w:autoSpaceDN w:val="0"/>
      <w:snapToGrid w:val="0"/>
      <w:jc w:val="center"/>
    </w:pPr>
    <w:rPr>
      <w:sz w:val="18"/>
      <w:szCs w:val="18"/>
    </w:rPr>
  </w:style>
  <w:style w:type="paragraph" w:styleId="213">
    <w:name w:val="List Paragraph"/>
    <w:basedOn w:val="1"/>
    <w:qFormat/>
    <w:uiPriority w:val="0"/>
    <w:pPr>
      <w:ind w:firstLine="420" w:firstLineChars="200"/>
    </w:pPr>
  </w:style>
  <w:style w:type="paragraph" w:customStyle="1" w:styleId="214">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16">
    <w:name w:val="pldsig"/>
    <w:basedOn w:val="1"/>
    <w:qFormat/>
    <w:uiPriority w:val="0"/>
    <w:pPr>
      <w:widowControl/>
      <w:tabs>
        <w:tab w:val="left" w:pos="3600"/>
        <w:tab w:val="left" w:pos="9360"/>
      </w:tabs>
      <w:overflowPunct w:val="0"/>
      <w:autoSpaceDE w:val="0"/>
      <w:autoSpaceDN w:val="0"/>
      <w:adjustRightInd w:val="0"/>
      <w:spacing w:after="120"/>
    </w:pPr>
    <w:rPr>
      <w:rFonts w:eastAsia="等线"/>
      <w:kern w:val="0"/>
      <w:sz w:val="24"/>
      <w:szCs w:val="20"/>
      <w:lang w:eastAsia="en-US"/>
    </w:rPr>
  </w:style>
  <w:style w:type="paragraph" w:customStyle="1" w:styleId="217">
    <w:name w:val="列出段落3"/>
    <w:basedOn w:val="1"/>
    <w:qFormat/>
    <w:uiPriority w:val="34"/>
    <w:pPr>
      <w:ind w:firstLine="420" w:firstLineChars="200"/>
    </w:pPr>
  </w:style>
  <w:style w:type="paragraph" w:customStyle="1" w:styleId="21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xl65"/>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221">
    <w:name w:val="I1"/>
    <w:basedOn w:val="1"/>
    <w:qFormat/>
    <w:uiPriority w:val="0"/>
    <w:pPr>
      <w:widowControl/>
      <w:numPr>
        <w:ilvl w:val="0"/>
        <w:numId w:val="12"/>
      </w:numPr>
      <w:autoSpaceDN w:val="0"/>
      <w:spacing w:after="80"/>
    </w:pPr>
    <w:rPr>
      <w:rFonts w:eastAsia="等线"/>
      <w:kern w:val="0"/>
      <w:sz w:val="23"/>
      <w:szCs w:val="20"/>
      <w:lang w:eastAsia="en-US"/>
    </w:rPr>
  </w:style>
  <w:style w:type="paragraph" w:customStyle="1" w:styleId="22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23">
    <w:name w:val="HTML Body"/>
    <w:qFormat/>
    <w:uiPriority w:val="0"/>
    <w:pPr>
      <w:autoSpaceDE w:val="0"/>
      <w:autoSpaceDN w:val="0"/>
      <w:adjustRightInd w:val="0"/>
    </w:pPr>
    <w:rPr>
      <w:rFonts w:ascii="Arial" w:hAnsi="Arial" w:eastAsia="等线" w:cs="Times New Roman"/>
      <w:lang w:val="en-US" w:eastAsia="en-US" w:bidi="ar-SA"/>
    </w:rPr>
  </w:style>
  <w:style w:type="paragraph" w:customStyle="1" w:styleId="224">
    <w:name w:val="1/1s"/>
    <w:basedOn w:val="225"/>
    <w:qFormat/>
    <w:uiPriority w:val="0"/>
    <w:pPr>
      <w:ind w:left="1440"/>
    </w:pPr>
    <w:rPr>
      <w:rFonts w:eastAsia="等线"/>
    </w:rPr>
  </w:style>
  <w:style w:type="paragraph" w:customStyle="1" w:styleId="225">
    <w:name w:val="0/0s"/>
    <w:basedOn w:val="1"/>
    <w:qFormat/>
    <w:uiPriority w:val="0"/>
    <w:pPr>
      <w:widowControl/>
      <w:overflowPunct w:val="0"/>
      <w:autoSpaceDE w:val="0"/>
      <w:autoSpaceDN w:val="0"/>
      <w:adjustRightInd w:val="0"/>
      <w:spacing w:after="240"/>
    </w:pPr>
    <w:rPr>
      <w:rFonts w:eastAsia="等线"/>
      <w:kern w:val="0"/>
      <w:sz w:val="24"/>
      <w:szCs w:val="20"/>
      <w:lang w:eastAsia="en-US"/>
    </w:rPr>
  </w:style>
  <w:style w:type="paragraph" w:customStyle="1" w:styleId="226">
    <w:name w:val="SJB Level 3"/>
    <w:basedOn w:val="1"/>
    <w:qFormat/>
    <w:uiPriority w:val="0"/>
    <w:pPr>
      <w:widowControl/>
      <w:numPr>
        <w:ilvl w:val="2"/>
        <w:numId w:val="13"/>
      </w:numPr>
      <w:autoSpaceDN w:val="0"/>
      <w:spacing w:before="142" w:line="280" w:lineRule="atLeast"/>
      <w:outlineLvl w:val="2"/>
    </w:pPr>
    <w:rPr>
      <w:rFonts w:ascii="Arial" w:hAnsi="Arial" w:cs="Arial"/>
      <w:color w:val="000000"/>
      <w:kern w:val="0"/>
      <w:sz w:val="20"/>
      <w:szCs w:val="20"/>
      <w:lang w:val="en-GB" w:eastAsia="en-US"/>
    </w:rPr>
  </w:style>
  <w:style w:type="paragraph" w:customStyle="1" w:styleId="227">
    <w:name w:val="Bulletin"/>
    <w:basedOn w:val="228"/>
    <w:qFormat/>
    <w:uiPriority w:val="0"/>
    <w:pPr>
      <w:tabs>
        <w:tab w:val="left" w:pos="270"/>
        <w:tab w:val="left" w:pos="630"/>
      </w:tabs>
      <w:ind w:left="630" w:hanging="198"/>
    </w:pPr>
    <w:rPr>
      <w:rFonts w:eastAsia="等线"/>
    </w:rPr>
  </w:style>
  <w:style w:type="paragraph" w:customStyle="1" w:styleId="228">
    <w:name w:val="Bullet"/>
    <w:basedOn w:val="1"/>
    <w:qFormat/>
    <w:uiPriority w:val="0"/>
    <w:pPr>
      <w:widowControl/>
      <w:numPr>
        <w:ilvl w:val="0"/>
        <w:numId w:val="14"/>
      </w:numPr>
      <w:tabs>
        <w:tab w:val="left" w:pos="270"/>
        <w:tab w:val="left" w:pos="630"/>
        <w:tab w:val="clear" w:pos="360"/>
      </w:tabs>
      <w:autoSpaceDN w:val="0"/>
      <w:spacing w:before="60" w:after="60"/>
    </w:pPr>
    <w:rPr>
      <w:rFonts w:ascii="Futura Lt BT" w:hAnsi="Futura Lt BT" w:eastAsia="等线"/>
      <w:spacing w:val="-6"/>
      <w:kern w:val="0"/>
      <w:sz w:val="20"/>
      <w:lang w:val="en-CA" w:eastAsia="en-US"/>
    </w:rPr>
  </w:style>
  <w:style w:type="paragraph" w:customStyle="1" w:styleId="229">
    <w:name w:val="Number"/>
    <w:basedOn w:val="1"/>
    <w:qFormat/>
    <w:uiPriority w:val="0"/>
    <w:pPr>
      <w:widowControl/>
      <w:autoSpaceDN w:val="0"/>
      <w:spacing w:after="120"/>
    </w:pPr>
    <w:rPr>
      <w:rFonts w:eastAsia="等线"/>
      <w:kern w:val="0"/>
      <w:sz w:val="24"/>
      <w:lang w:eastAsia="en-US"/>
    </w:rPr>
  </w:style>
  <w:style w:type="paragraph" w:customStyle="1" w:styleId="230">
    <w:name w:val="xl102"/>
    <w:basedOn w:val="1"/>
    <w:qFormat/>
    <w:uiPriority w:val="0"/>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31">
    <w:name w:val="SJB Level 4"/>
    <w:basedOn w:val="1"/>
    <w:qFormat/>
    <w:uiPriority w:val="0"/>
    <w:pPr>
      <w:widowControl/>
      <w:numPr>
        <w:ilvl w:val="3"/>
        <w:numId w:val="13"/>
      </w:numPr>
      <w:autoSpaceDN w:val="0"/>
      <w:spacing w:before="142" w:line="280" w:lineRule="atLeast"/>
      <w:outlineLvl w:val="3"/>
    </w:pPr>
    <w:rPr>
      <w:rFonts w:ascii="Arial" w:hAnsi="Arial" w:cs="Arial"/>
      <w:color w:val="000000"/>
      <w:kern w:val="0"/>
      <w:sz w:val="20"/>
      <w:szCs w:val="20"/>
      <w:lang w:val="en-GB" w:eastAsia="en-US"/>
    </w:rPr>
  </w:style>
  <w:style w:type="paragraph" w:customStyle="1" w:styleId="232">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33">
    <w:name w:val="纯文本1"/>
    <w:basedOn w:val="1"/>
    <w:qFormat/>
    <w:uiPriority w:val="0"/>
    <w:rPr>
      <w:rFonts w:ascii="宋体" w:hAnsi="Courier New" w:eastAsia="Times New Roman"/>
      <w:szCs w:val="20"/>
    </w:rPr>
  </w:style>
  <w:style w:type="paragraph" w:customStyle="1" w:styleId="234">
    <w:name w:val="TxBr_p3"/>
    <w:basedOn w:val="1"/>
    <w:qFormat/>
    <w:uiPriority w:val="0"/>
    <w:pPr>
      <w:tabs>
        <w:tab w:val="left" w:pos="204"/>
      </w:tabs>
      <w:overflowPunct w:val="0"/>
      <w:autoSpaceDE w:val="0"/>
      <w:autoSpaceDN w:val="0"/>
      <w:adjustRightInd w:val="0"/>
      <w:spacing w:after="120" w:line="272" w:lineRule="atLeast"/>
    </w:pPr>
    <w:rPr>
      <w:rFonts w:eastAsia="等线"/>
      <w:kern w:val="0"/>
      <w:sz w:val="20"/>
      <w:szCs w:val="20"/>
      <w:lang w:eastAsia="en-US"/>
    </w:rPr>
  </w:style>
  <w:style w:type="paragraph" w:customStyle="1" w:styleId="235">
    <w:name w:val="xl88"/>
    <w:basedOn w:val="1"/>
    <w:qFormat/>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236">
    <w:name w:val="0/0d"/>
    <w:basedOn w:val="1"/>
    <w:next w:val="237"/>
    <w:qFormat/>
    <w:uiPriority w:val="0"/>
    <w:pPr>
      <w:widowControl/>
      <w:overflowPunct w:val="0"/>
      <w:autoSpaceDE w:val="0"/>
      <w:autoSpaceDN w:val="0"/>
      <w:adjustRightInd w:val="0"/>
      <w:spacing w:after="120" w:line="480" w:lineRule="auto"/>
    </w:pPr>
    <w:rPr>
      <w:rFonts w:eastAsia="等线"/>
      <w:kern w:val="0"/>
      <w:sz w:val="24"/>
      <w:szCs w:val="20"/>
      <w:lang w:eastAsia="en-US"/>
    </w:rPr>
  </w:style>
  <w:style w:type="paragraph" w:customStyle="1" w:styleId="237">
    <w:name w:val=".5/0d"/>
    <w:basedOn w:val="1"/>
    <w:qFormat/>
    <w:uiPriority w:val="0"/>
    <w:pPr>
      <w:widowControl/>
      <w:overflowPunct w:val="0"/>
      <w:autoSpaceDE w:val="0"/>
      <w:autoSpaceDN w:val="0"/>
      <w:adjustRightInd w:val="0"/>
      <w:spacing w:after="120" w:line="480" w:lineRule="auto"/>
      <w:ind w:firstLine="720"/>
    </w:pPr>
    <w:rPr>
      <w:rFonts w:eastAsia="等线"/>
      <w:kern w:val="0"/>
      <w:sz w:val="24"/>
      <w:szCs w:val="20"/>
      <w:lang w:eastAsia="en-US"/>
    </w:rPr>
  </w:style>
  <w:style w:type="paragraph" w:customStyle="1" w:styleId="238">
    <w:name w:val="xl8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39">
    <w:name w:val="I2"/>
    <w:basedOn w:val="221"/>
    <w:qFormat/>
    <w:uiPriority w:val="0"/>
    <w:pPr>
      <w:tabs>
        <w:tab w:val="left" w:pos="1166"/>
      </w:tabs>
      <w:ind w:left="1166"/>
    </w:pPr>
    <w:rPr>
      <w:rFonts w:eastAsia="等线"/>
    </w:rPr>
  </w:style>
  <w:style w:type="paragraph" w:customStyle="1" w:styleId="240">
    <w:name w:val="xl10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2">
    <w:name w:val="xl77"/>
    <w:basedOn w:val="1"/>
    <w:qFormat/>
    <w:uiPriority w:val="0"/>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bullet1"/>
    <w:basedOn w:val="1"/>
    <w:qFormat/>
    <w:uiPriority w:val="0"/>
    <w:pPr>
      <w:numPr>
        <w:ilvl w:val="2"/>
        <w:numId w:val="15"/>
      </w:numPr>
      <w:tabs>
        <w:tab w:val="left" w:pos="360"/>
        <w:tab w:val="clear" w:pos="2160"/>
      </w:tabs>
      <w:autoSpaceDE w:val="0"/>
      <w:autoSpaceDN w:val="0"/>
      <w:adjustRightInd w:val="0"/>
      <w:spacing w:before="120" w:after="120"/>
      <w:ind w:left="360" w:firstLine="0"/>
    </w:pPr>
    <w:rPr>
      <w:rFonts w:ascii="Arial" w:hAnsi="Arial" w:eastAsia="等线" w:cs="Arial"/>
      <w:color w:val="000000"/>
      <w:kern w:val="0"/>
      <w:sz w:val="22"/>
      <w:lang w:eastAsia="en-US"/>
    </w:rPr>
  </w:style>
  <w:style w:type="paragraph" w:customStyle="1" w:styleId="244">
    <w:name w:val="正文首行缩进 21"/>
    <w:basedOn w:val="35"/>
    <w:unhideWhenUsed/>
    <w:qFormat/>
    <w:uiPriority w:val="99"/>
    <w:pPr>
      <w:ind w:firstLine="420" w:firstLineChars="200"/>
    </w:pPr>
  </w:style>
  <w:style w:type="paragraph" w:customStyle="1" w:styleId="245">
    <w:name w:val="Body 1&quot;"/>
    <w:basedOn w:val="1"/>
    <w:qFormat/>
    <w:uiPriority w:val="0"/>
    <w:pPr>
      <w:widowControl/>
      <w:autoSpaceDN w:val="0"/>
      <w:spacing w:before="240" w:after="120"/>
      <w:ind w:firstLine="1440"/>
    </w:pPr>
    <w:rPr>
      <w:rFonts w:eastAsia="等线"/>
      <w:kern w:val="0"/>
      <w:sz w:val="24"/>
      <w:szCs w:val="20"/>
      <w:lang w:eastAsia="en-US"/>
    </w:rPr>
  </w:style>
  <w:style w:type="paragraph" w:customStyle="1" w:styleId="246">
    <w:name w:val="Normal_Arial"/>
    <w:basedOn w:val="1"/>
    <w:qFormat/>
    <w:uiPriority w:val="0"/>
    <w:pPr>
      <w:widowControl/>
      <w:autoSpaceDN w:val="0"/>
      <w:spacing w:after="120"/>
    </w:pPr>
    <w:rPr>
      <w:rFonts w:ascii="Arial" w:hAnsi="Arial" w:eastAsia="等线" w:cs="Arial"/>
      <w:kern w:val="0"/>
      <w:sz w:val="20"/>
      <w:lang w:val="en-CA" w:eastAsia="en-US"/>
    </w:rPr>
  </w:style>
  <w:style w:type="paragraph" w:customStyle="1" w:styleId="247">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9">
    <w:name w:val="p0"/>
    <w:basedOn w:val="1"/>
    <w:qFormat/>
    <w:uiPriority w:val="0"/>
    <w:pPr>
      <w:widowControl/>
    </w:pPr>
    <w:rPr>
      <w:rFonts w:ascii="Calibri" w:hAnsi="Calibri" w:cs="宋体"/>
      <w:kern w:val="0"/>
      <w:szCs w:val="21"/>
    </w:rPr>
  </w:style>
  <w:style w:type="paragraph" w:customStyle="1" w:styleId="250">
    <w:name w:val="xl8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5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52">
    <w:name w:val="Bullet1"/>
    <w:basedOn w:val="1"/>
    <w:qFormat/>
    <w:uiPriority w:val="0"/>
    <w:pPr>
      <w:widowControl/>
      <w:tabs>
        <w:tab w:val="left" w:pos="360"/>
        <w:tab w:val="left" w:pos="720"/>
      </w:tabs>
      <w:autoSpaceDN w:val="0"/>
      <w:spacing w:before="110" w:after="120"/>
      <w:ind w:left="720" w:right="360" w:hanging="360"/>
    </w:pPr>
    <w:rPr>
      <w:rFonts w:ascii="Arial" w:hAnsi="Arial" w:eastAsia="等线" w:cs="Arial"/>
      <w:kern w:val="0"/>
      <w:sz w:val="22"/>
      <w:szCs w:val="22"/>
      <w:lang w:eastAsia="en-US"/>
    </w:rPr>
  </w:style>
  <w:style w:type="paragraph" w:customStyle="1" w:styleId="253">
    <w:name w:val="Char"/>
    <w:basedOn w:val="1"/>
    <w:qFormat/>
    <w:uiPriority w:val="0"/>
  </w:style>
  <w:style w:type="paragraph" w:customStyle="1" w:styleId="2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5">
    <w:name w:val="1.5/1.5"/>
    <w:basedOn w:val="198"/>
    <w:qFormat/>
    <w:uiPriority w:val="0"/>
    <w:pPr>
      <w:ind w:left="2160" w:firstLine="0"/>
    </w:pPr>
    <w:rPr>
      <w:rFonts w:eastAsia="等线"/>
    </w:rPr>
  </w:style>
  <w:style w:type="paragraph" w:customStyle="1" w:styleId="256">
    <w:name w:val="2.5/2.5"/>
    <w:basedOn w:val="198"/>
    <w:qFormat/>
    <w:uiPriority w:val="0"/>
    <w:pPr>
      <w:ind w:left="3600" w:firstLine="0"/>
    </w:pPr>
    <w:rPr>
      <w:rFonts w:eastAsia="等线"/>
    </w:rPr>
  </w:style>
  <w:style w:type="paragraph" w:customStyle="1" w:styleId="25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8">
    <w:name w:val="Center"/>
    <w:basedOn w:val="225"/>
    <w:qFormat/>
    <w:uiPriority w:val="0"/>
    <w:pPr>
      <w:jc w:val="center"/>
    </w:pPr>
    <w:rPr>
      <w:rFonts w:eastAsia="等线"/>
    </w:rPr>
  </w:style>
  <w:style w:type="paragraph" w:customStyle="1" w:styleId="2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61">
    <w:name w:val="Numbered"/>
    <w:basedOn w:val="35"/>
    <w:qFormat/>
    <w:uiPriority w:val="0"/>
    <w:pPr>
      <w:widowControl/>
      <w:numPr>
        <w:ilvl w:val="0"/>
        <w:numId w:val="16"/>
      </w:numPr>
      <w:autoSpaceDE w:val="0"/>
      <w:autoSpaceDN w:val="0"/>
      <w:adjustRightInd w:val="0"/>
      <w:spacing w:before="60" w:after="60"/>
      <w:ind w:left="420" w:leftChars="0" w:firstLine="0"/>
    </w:pPr>
    <w:rPr>
      <w:rFonts w:ascii="Futura Lt BT" w:hAnsi="Futura Lt BT" w:eastAsia="等线"/>
      <w:spacing w:val="-6"/>
      <w:kern w:val="0"/>
      <w:sz w:val="20"/>
      <w:szCs w:val="20"/>
      <w:lang w:eastAsia="en-US"/>
    </w:rPr>
  </w:style>
  <w:style w:type="paragraph" w:customStyle="1" w:styleId="262">
    <w:name w:val="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sigdate"/>
    <w:basedOn w:val="1"/>
    <w:qFormat/>
    <w:uiPriority w:val="0"/>
    <w:pPr>
      <w:widowControl/>
      <w:tabs>
        <w:tab w:val="left" w:pos="3600"/>
        <w:tab w:val="left" w:pos="9270"/>
      </w:tabs>
      <w:overflowPunct w:val="0"/>
      <w:autoSpaceDE w:val="0"/>
      <w:autoSpaceDN w:val="0"/>
      <w:adjustRightInd w:val="0"/>
      <w:spacing w:after="120"/>
    </w:pPr>
    <w:rPr>
      <w:rFonts w:eastAsia="等线"/>
      <w:kern w:val="0"/>
      <w:sz w:val="24"/>
      <w:szCs w:val="20"/>
      <w:lang w:eastAsia="en-US"/>
    </w:rPr>
  </w:style>
  <w:style w:type="paragraph" w:customStyle="1" w:styleId="264">
    <w:name w:val="xl91"/>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65">
    <w:name w:val="样式 标题 1 + 宋体 段前: 0 磅 段后: 0 磅 行距: 单倍行距"/>
    <w:basedOn w:val="3"/>
    <w:next w:val="1"/>
    <w:qFormat/>
    <w:uiPriority w:val="0"/>
    <w:pPr>
      <w:keepLines/>
      <w:spacing w:beforeLines="100" w:afterLines="100"/>
    </w:pPr>
    <w:rPr>
      <w:rFonts w:ascii="仿宋_GB2312" w:hAnsi="宋体" w:cs="宋体"/>
      <w:b/>
      <w:bCs/>
      <w:kern w:val="44"/>
      <w:sz w:val="44"/>
      <w:szCs w:val="44"/>
    </w:rPr>
  </w:style>
  <w:style w:type="paragraph" w:customStyle="1" w:styleId="266">
    <w:name w:val="Char1"/>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267">
    <w:name w:val="sigpld"/>
    <w:basedOn w:val="1"/>
    <w:qFormat/>
    <w:uiPriority w:val="0"/>
    <w:pPr>
      <w:widowControl/>
      <w:tabs>
        <w:tab w:val="right" w:pos="3600"/>
        <w:tab w:val="left" w:leader="underscore" w:pos="9360"/>
      </w:tabs>
      <w:overflowPunct w:val="0"/>
      <w:autoSpaceDE w:val="0"/>
      <w:autoSpaceDN w:val="0"/>
      <w:adjustRightInd w:val="0"/>
      <w:spacing w:after="120"/>
      <w:ind w:left="3600"/>
    </w:pPr>
    <w:rPr>
      <w:rFonts w:eastAsia="等线"/>
      <w:kern w:val="0"/>
      <w:sz w:val="24"/>
      <w:szCs w:val="20"/>
      <w:lang w:eastAsia="en-US"/>
    </w:rPr>
  </w:style>
  <w:style w:type="paragraph" w:customStyle="1" w:styleId="268">
    <w:name w:val="xl111"/>
    <w:basedOn w:val="1"/>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69">
    <w:name w:val="Diamond"/>
    <w:basedOn w:val="1"/>
    <w:qFormat/>
    <w:uiPriority w:val="0"/>
    <w:pPr>
      <w:widowControl/>
      <w:numPr>
        <w:ilvl w:val="0"/>
        <w:numId w:val="17"/>
      </w:numPr>
      <w:tabs>
        <w:tab w:val="left" w:pos="360"/>
        <w:tab w:val="clear" w:pos="2160"/>
      </w:tabs>
      <w:autoSpaceDN w:val="0"/>
      <w:spacing w:after="120"/>
      <w:ind w:left="0" w:firstLine="0"/>
    </w:pPr>
    <w:rPr>
      <w:rFonts w:eastAsia="等线"/>
      <w:kern w:val="0"/>
      <w:sz w:val="24"/>
      <w:szCs w:val="20"/>
      <w:lang w:eastAsia="en-US"/>
    </w:rPr>
  </w:style>
  <w:style w:type="paragraph" w:customStyle="1" w:styleId="270">
    <w:name w:val="SJB Level 5"/>
    <w:basedOn w:val="1"/>
    <w:qFormat/>
    <w:uiPriority w:val="0"/>
    <w:pPr>
      <w:widowControl/>
      <w:numPr>
        <w:ilvl w:val="4"/>
        <w:numId w:val="13"/>
      </w:numPr>
      <w:autoSpaceDN w:val="0"/>
      <w:spacing w:before="142" w:line="280" w:lineRule="atLeast"/>
      <w:outlineLvl w:val="4"/>
    </w:pPr>
    <w:rPr>
      <w:rFonts w:ascii="Arial" w:hAnsi="Arial" w:cs="Arial"/>
      <w:color w:val="000000"/>
      <w:kern w:val="0"/>
      <w:sz w:val="20"/>
      <w:szCs w:val="20"/>
      <w:lang w:val="en-GB" w:eastAsia="en-US"/>
    </w:rPr>
  </w:style>
  <w:style w:type="paragraph" w:customStyle="1" w:styleId="271">
    <w:name w:val="默认段落字体 Para Char Char Char Char"/>
    <w:basedOn w:val="1"/>
    <w:qFormat/>
    <w:uiPriority w:val="0"/>
    <w:rPr>
      <w:szCs w:val="20"/>
    </w:rPr>
  </w:style>
  <w:style w:type="paragraph" w:customStyle="1" w:styleId="272">
    <w:name w:val="Flush Left"/>
    <w:basedOn w:val="1"/>
    <w:qFormat/>
    <w:uiPriority w:val="0"/>
    <w:pPr>
      <w:widowControl/>
      <w:autoSpaceDN w:val="0"/>
      <w:spacing w:before="240" w:after="120"/>
    </w:pPr>
    <w:rPr>
      <w:rFonts w:eastAsia="等线"/>
      <w:kern w:val="0"/>
      <w:sz w:val="24"/>
      <w:szCs w:val="20"/>
      <w:lang w:eastAsia="en-US"/>
    </w:rPr>
  </w:style>
  <w:style w:type="paragraph" w:customStyle="1" w:styleId="273">
    <w:name w:val="TxBr_2p10"/>
    <w:basedOn w:val="1"/>
    <w:qFormat/>
    <w:uiPriority w:val="0"/>
    <w:pPr>
      <w:tabs>
        <w:tab w:val="left" w:pos="1729"/>
      </w:tabs>
      <w:autoSpaceDN w:val="0"/>
      <w:spacing w:after="120" w:line="240" w:lineRule="atLeast"/>
      <w:ind w:left="1032"/>
    </w:pPr>
    <w:rPr>
      <w:rFonts w:eastAsia="等线"/>
      <w:kern w:val="0"/>
      <w:sz w:val="22"/>
      <w:szCs w:val="20"/>
      <w:lang w:eastAsia="en-US"/>
    </w:rPr>
  </w:style>
  <w:style w:type="paragraph" w:customStyle="1" w:styleId="274">
    <w:name w:val="Center Bold"/>
    <w:basedOn w:val="1"/>
    <w:next w:val="158"/>
    <w:qFormat/>
    <w:uiPriority w:val="0"/>
    <w:pPr>
      <w:keepNext/>
      <w:keepLines/>
      <w:widowControl/>
      <w:suppressAutoHyphens/>
      <w:autoSpaceDN w:val="0"/>
      <w:spacing w:before="240" w:after="120"/>
      <w:jc w:val="center"/>
    </w:pPr>
    <w:rPr>
      <w:rFonts w:eastAsia="等线"/>
      <w:b/>
      <w:kern w:val="0"/>
      <w:sz w:val="24"/>
      <w:szCs w:val="20"/>
      <w:lang w:eastAsia="en-US"/>
    </w:rPr>
  </w:style>
  <w:style w:type="paragraph" w:customStyle="1" w:styleId="2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6">
    <w:name w:val="xl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77">
    <w:name w:val="xl9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78">
    <w:name w:val="列出段落1"/>
    <w:basedOn w:val="1"/>
    <w:qFormat/>
    <w:uiPriority w:val="34"/>
    <w:pPr>
      <w:widowControl/>
      <w:spacing w:before="100" w:beforeAutospacing="1" w:after="100" w:afterAutospacing="1"/>
      <w:jc w:val="left"/>
    </w:pPr>
    <w:rPr>
      <w:rFonts w:ascii="Arial" w:hAnsi="Arial" w:cs="Arial"/>
      <w:color w:val="000000"/>
      <w:sz w:val="18"/>
      <w:szCs w:val="18"/>
    </w:rPr>
  </w:style>
  <w:style w:type="paragraph" w:customStyle="1" w:styleId="279">
    <w:name w:val="SJB Level 1"/>
    <w:basedOn w:val="1"/>
    <w:qFormat/>
    <w:uiPriority w:val="0"/>
    <w:pPr>
      <w:widowControl/>
      <w:numPr>
        <w:ilvl w:val="0"/>
        <w:numId w:val="13"/>
      </w:numPr>
      <w:autoSpaceDN w:val="0"/>
      <w:spacing w:before="142" w:line="280" w:lineRule="atLeast"/>
      <w:outlineLvl w:val="0"/>
    </w:pPr>
    <w:rPr>
      <w:rFonts w:ascii="Arial" w:hAnsi="Arial" w:cs="Arial"/>
      <w:color w:val="000000"/>
      <w:kern w:val="0"/>
      <w:sz w:val="20"/>
      <w:szCs w:val="20"/>
      <w:lang w:val="en-GB" w:eastAsia="en-US"/>
    </w:rPr>
  </w:style>
  <w:style w:type="paragraph" w:customStyle="1" w:styleId="280">
    <w:name w:val="xl8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81">
    <w:name w:val="修订1"/>
    <w:qFormat/>
    <w:uiPriority w:val="0"/>
    <w:pPr>
      <w:autoSpaceDN w:val="0"/>
    </w:pPr>
    <w:rPr>
      <w:rFonts w:ascii="Times New Roman" w:hAnsi="Times New Roman" w:eastAsia="等线" w:cs="Times New Roman"/>
      <w:sz w:val="22"/>
      <w:szCs w:val="24"/>
      <w:lang w:val="en-US" w:eastAsia="en-US" w:bidi="ar-SA"/>
    </w:rPr>
  </w:style>
  <w:style w:type="paragraph" w:customStyle="1" w:styleId="282">
    <w:name w:val="图文"/>
    <w:basedOn w:val="1"/>
    <w:qFormat/>
    <w:uiPriority w:val="0"/>
    <w:pPr>
      <w:adjustRightInd w:val="0"/>
      <w:snapToGrid w:val="0"/>
      <w:spacing w:after="50" w:line="360" w:lineRule="auto"/>
    </w:pPr>
    <w:rPr>
      <w:sz w:val="24"/>
      <w:szCs w:val="20"/>
    </w:rPr>
  </w:style>
  <w:style w:type="paragraph" w:customStyle="1" w:styleId="283">
    <w:name w:val=".5/1s"/>
    <w:basedOn w:val="1"/>
    <w:next w:val="198"/>
    <w:qFormat/>
    <w:uiPriority w:val="0"/>
    <w:pPr>
      <w:widowControl/>
      <w:overflowPunct w:val="0"/>
      <w:autoSpaceDE w:val="0"/>
      <w:autoSpaceDN w:val="0"/>
      <w:adjustRightInd w:val="0"/>
      <w:spacing w:after="240"/>
      <w:ind w:left="1440" w:hanging="720"/>
    </w:pPr>
    <w:rPr>
      <w:rFonts w:eastAsia="等线"/>
      <w:kern w:val="0"/>
      <w:sz w:val="24"/>
      <w:szCs w:val="20"/>
      <w:lang w:eastAsia="en-US"/>
    </w:rPr>
  </w:style>
  <w:style w:type="paragraph" w:customStyle="1" w:styleId="284">
    <w:name w:val="样式1"/>
    <w:basedOn w:val="57"/>
    <w:qFormat/>
    <w:uiPriority w:val="0"/>
    <w:pPr>
      <w:pBdr>
        <w:top w:val="none" w:color="auto" w:sz="0" w:space="0"/>
        <w:left w:val="none" w:color="auto" w:sz="0" w:space="0"/>
        <w:bottom w:val="none" w:color="auto" w:sz="0" w:space="0"/>
        <w:right w:val="none" w:color="auto" w:sz="0" w:space="0"/>
      </w:pBdr>
      <w:autoSpaceDN w:val="0"/>
    </w:pPr>
    <w:rPr>
      <w:sz w:val="24"/>
      <w:szCs w:val="20"/>
      <w:lang w:val="zh-CN"/>
    </w:rPr>
  </w:style>
  <w:style w:type="paragraph" w:customStyle="1" w:styleId="285">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6">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8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Standard_L9"/>
    <w:basedOn w:val="289"/>
    <w:next w:val="34"/>
    <w:qFormat/>
    <w:uiPriority w:val="0"/>
    <w:pPr>
      <w:numPr>
        <w:ilvl w:val="8"/>
        <w:numId w:val="11"/>
      </w:numPr>
      <w:tabs>
        <w:tab w:val="left" w:pos="360"/>
        <w:tab w:val="left" w:pos="720"/>
        <w:tab w:val="left" w:pos="1440"/>
        <w:tab w:val="left" w:pos="2160"/>
        <w:tab w:val="left" w:pos="2880"/>
        <w:tab w:val="left" w:pos="3600"/>
        <w:tab w:val="left" w:pos="4320"/>
        <w:tab w:val="left" w:pos="5040"/>
        <w:tab w:val="left" w:pos="5760"/>
        <w:tab w:val="clear" w:pos="6480"/>
      </w:tabs>
      <w:ind w:firstLine="5040"/>
      <w:outlineLvl w:val="8"/>
    </w:pPr>
    <w:rPr>
      <w:rFonts w:eastAsia="等线"/>
    </w:rPr>
  </w:style>
  <w:style w:type="paragraph" w:customStyle="1" w:styleId="289">
    <w:name w:val="Standard_L8"/>
    <w:basedOn w:val="200"/>
    <w:next w:val="34"/>
    <w:qFormat/>
    <w:uiPriority w:val="0"/>
    <w:pPr>
      <w:numPr>
        <w:ilvl w:val="7"/>
        <w:numId w:val="11"/>
      </w:numPr>
      <w:outlineLvl w:val="7"/>
    </w:pPr>
    <w:rPr>
      <w:rFonts w:eastAsia="等线"/>
    </w:rPr>
  </w:style>
  <w:style w:type="paragraph" w:customStyle="1" w:styleId="290">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1">
    <w:name w:val="Appendix"/>
    <w:basedOn w:val="3"/>
    <w:qFormat/>
    <w:uiPriority w:val="0"/>
    <w:pPr>
      <w:widowControl/>
      <w:tabs>
        <w:tab w:val="left" w:pos="-630"/>
        <w:tab w:val="left" w:pos="540"/>
      </w:tabs>
      <w:autoSpaceDN w:val="0"/>
      <w:spacing w:before="240" w:after="60"/>
      <w:jc w:val="both"/>
    </w:pPr>
    <w:rPr>
      <w:rFonts w:ascii="Arial" w:hAnsi="Arial" w:eastAsia="等线" w:cs="Arial"/>
      <w:b/>
      <w:bCs/>
      <w:kern w:val="32"/>
      <w:szCs w:val="32"/>
      <w:lang w:val="en-CA" w:eastAsia="en-US"/>
    </w:rPr>
  </w:style>
  <w:style w:type="paragraph" w:customStyle="1" w:styleId="292">
    <w:name w:val="xl8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3">
    <w:name w:val="Hanging"/>
    <w:basedOn w:val="1"/>
    <w:qFormat/>
    <w:uiPriority w:val="0"/>
    <w:pPr>
      <w:widowControl/>
      <w:autoSpaceDN w:val="0"/>
      <w:spacing w:before="240" w:after="120"/>
      <w:ind w:left="720" w:hanging="720"/>
    </w:pPr>
    <w:rPr>
      <w:rFonts w:eastAsia="等线"/>
      <w:kern w:val="0"/>
      <w:sz w:val="24"/>
      <w:szCs w:val="20"/>
      <w:lang w:eastAsia="en-US"/>
    </w:rPr>
  </w:style>
  <w:style w:type="paragraph" w:customStyle="1" w:styleId="294">
    <w:name w:val="Char Char"/>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295">
    <w:name w:val="正文文字3"/>
    <w:basedOn w:val="34"/>
    <w:qFormat/>
    <w:uiPriority w:val="0"/>
    <w:pPr>
      <w:adjustRightInd w:val="0"/>
      <w:spacing w:after="0" w:line="360" w:lineRule="atLeast"/>
      <w:ind w:left="30" w:leftChars="30" w:right="30" w:rightChars="30"/>
    </w:pPr>
    <w:rPr>
      <w:kern w:val="0"/>
      <w:szCs w:val="20"/>
    </w:rPr>
  </w:style>
  <w:style w:type="paragraph" w:customStyle="1" w:styleId="296">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297">
    <w:name w:val="_Style 296"/>
    <w:basedOn w:val="3"/>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298">
    <w:name w:val="Recital"/>
    <w:basedOn w:val="1"/>
    <w:next w:val="1"/>
    <w:qFormat/>
    <w:uiPriority w:val="0"/>
    <w:pPr>
      <w:widowControl/>
      <w:autoSpaceDN w:val="0"/>
      <w:spacing w:before="480" w:after="240"/>
      <w:jc w:val="center"/>
    </w:pPr>
    <w:rPr>
      <w:rFonts w:eastAsia="等线"/>
      <w:caps/>
      <w:kern w:val="0"/>
      <w:sz w:val="24"/>
      <w:szCs w:val="20"/>
      <w:u w:val="words"/>
      <w:lang w:eastAsia="en-US"/>
    </w:rPr>
  </w:style>
  <w:style w:type="paragraph" w:customStyle="1" w:styleId="299">
    <w:name w:val="1"/>
    <w:basedOn w:val="1"/>
    <w:next w:val="45"/>
    <w:qFormat/>
    <w:uiPriority w:val="0"/>
    <w:rPr>
      <w:rFonts w:ascii="宋体" w:hAnsi="Courier New"/>
      <w:szCs w:val="20"/>
    </w:rPr>
  </w:style>
  <w:style w:type="paragraph" w:customStyle="1" w:styleId="300">
    <w:name w:val="xl107"/>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01">
    <w:name w:val="xl9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02">
    <w:name w:val="postcap"/>
    <w:basedOn w:val="1"/>
    <w:next w:val="1"/>
    <w:qFormat/>
    <w:uiPriority w:val="0"/>
    <w:pPr>
      <w:widowControl/>
      <w:overflowPunct w:val="0"/>
      <w:autoSpaceDE w:val="0"/>
      <w:autoSpaceDN w:val="0"/>
      <w:adjustRightInd w:val="0"/>
      <w:spacing w:before="360" w:after="120"/>
    </w:pPr>
    <w:rPr>
      <w:rFonts w:eastAsia="等线"/>
      <w:kern w:val="0"/>
      <w:sz w:val="24"/>
      <w:szCs w:val="20"/>
      <w:lang w:eastAsia="en-US"/>
    </w:rPr>
  </w:style>
  <w:style w:type="paragraph" w:customStyle="1" w:styleId="303">
    <w:name w:val="Copy"/>
    <w:basedOn w:val="1"/>
    <w:qFormat/>
    <w:uiPriority w:val="0"/>
    <w:pPr>
      <w:widowControl/>
      <w:autoSpaceDN w:val="0"/>
      <w:spacing w:after="120"/>
      <w:jc w:val="center"/>
    </w:pPr>
    <w:rPr>
      <w:rFonts w:ascii="Futura Lt BT" w:hAnsi="Futura Lt BT" w:eastAsia="等线"/>
      <w:spacing w:val="-6"/>
      <w:kern w:val="0"/>
      <w:sz w:val="20"/>
      <w:lang w:val="en-CA" w:eastAsia="en-US"/>
    </w:rPr>
  </w:style>
  <w:style w:type="paragraph" w:customStyle="1" w:styleId="304">
    <w:name w:val="SJB Level 6"/>
    <w:basedOn w:val="1"/>
    <w:qFormat/>
    <w:uiPriority w:val="0"/>
    <w:pPr>
      <w:widowControl/>
      <w:numPr>
        <w:ilvl w:val="5"/>
        <w:numId w:val="13"/>
      </w:numPr>
      <w:autoSpaceDN w:val="0"/>
      <w:spacing w:before="142" w:line="280" w:lineRule="atLeast"/>
      <w:outlineLvl w:val="5"/>
    </w:pPr>
    <w:rPr>
      <w:rFonts w:ascii="Arial" w:hAnsi="Arial" w:cs="Arial"/>
      <w:color w:val="000000"/>
      <w:kern w:val="0"/>
      <w:sz w:val="20"/>
      <w:szCs w:val="20"/>
      <w:lang w:val="en-GB" w:eastAsia="en-US"/>
    </w:rPr>
  </w:style>
  <w:style w:type="paragraph" w:customStyle="1" w:styleId="30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7">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8">
    <w:name w:val="Default Text"/>
    <w:basedOn w:val="1"/>
    <w:qFormat/>
    <w:uiPriority w:val="0"/>
    <w:pPr>
      <w:widowControl/>
      <w:autoSpaceDN w:val="0"/>
      <w:spacing w:after="120"/>
    </w:pPr>
    <w:rPr>
      <w:rFonts w:ascii="Arial" w:hAnsi="Arial" w:eastAsia="等线" w:cs="Arial"/>
      <w:kern w:val="0"/>
      <w:sz w:val="22"/>
      <w:szCs w:val="22"/>
      <w:lang w:eastAsia="en-US"/>
    </w:rPr>
  </w:style>
  <w:style w:type="paragraph" w:customStyle="1" w:styleId="309">
    <w:name w:val="PowerTXT Segment Marker"/>
    <w:basedOn w:val="1"/>
    <w:next w:val="1"/>
    <w:qFormat/>
    <w:uiPriority w:val="0"/>
    <w:pPr>
      <w:widowControl/>
      <w:suppressLineNumbers/>
      <w:pBdr>
        <w:top w:val="single" w:color="FF0000" w:sz="12" w:space="1"/>
        <w:left w:val="single" w:color="FF0000" w:sz="12" w:space="1"/>
        <w:bottom w:val="single" w:color="FF0000" w:sz="12" w:space="1"/>
        <w:right w:val="single" w:color="FF0000" w:sz="12" w:space="1"/>
      </w:pBdr>
      <w:overflowPunct w:val="0"/>
      <w:autoSpaceDE w:val="0"/>
      <w:autoSpaceDN w:val="0"/>
      <w:adjustRightInd w:val="0"/>
      <w:spacing w:before="120" w:after="120"/>
      <w:ind w:left="432" w:hanging="432"/>
    </w:pPr>
    <w:rPr>
      <w:rFonts w:ascii="Arial" w:hAnsi="Arial" w:eastAsia="等线"/>
      <w:vanish/>
      <w:color w:val="FF0000"/>
      <w:kern w:val="0"/>
      <w:sz w:val="24"/>
      <w:szCs w:val="20"/>
      <w:lang w:eastAsia="en-US"/>
    </w:rPr>
  </w:style>
  <w:style w:type="paragraph" w:customStyle="1" w:styleId="310">
    <w:name w:val="•Questions and  answers"/>
    <w:basedOn w:val="1"/>
    <w:qFormat/>
    <w:uiPriority w:val="0"/>
    <w:pPr>
      <w:autoSpaceDN w:val="0"/>
      <w:spacing w:after="20" w:line="210" w:lineRule="exact"/>
      <w:jc w:val="left"/>
    </w:pPr>
    <w:rPr>
      <w:rFonts w:ascii="Tahoma" w:hAnsi="Tahoma" w:eastAsia="等线"/>
      <w:color w:val="000000"/>
      <w:kern w:val="0"/>
      <w:sz w:val="17"/>
      <w:szCs w:val="20"/>
      <w:lang w:eastAsia="en-US"/>
    </w:rPr>
  </w:style>
  <w:style w:type="paragraph" w:customStyle="1" w:styleId="311">
    <w:name w:val="Char Char Char1 Char"/>
    <w:basedOn w:val="1"/>
    <w:qFormat/>
    <w:uiPriority w:val="0"/>
    <w:rPr>
      <w:szCs w:val="20"/>
    </w:rPr>
  </w:style>
  <w:style w:type="paragraph" w:customStyle="1" w:styleId="312">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313">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14">
    <w:name w:val="SH"/>
    <w:basedOn w:val="1"/>
    <w:next w:val="1"/>
    <w:qFormat/>
    <w:uiPriority w:val="0"/>
    <w:pPr>
      <w:keepNext/>
      <w:widowControl/>
      <w:autoSpaceDN w:val="0"/>
      <w:spacing w:before="120" w:after="120" w:line="280" w:lineRule="exact"/>
    </w:pPr>
    <w:rPr>
      <w:rFonts w:ascii="Arial" w:hAnsi="Arial" w:eastAsia="等线"/>
      <w:b/>
      <w:kern w:val="0"/>
      <w:sz w:val="23"/>
      <w:szCs w:val="20"/>
      <w:lang w:eastAsia="en-US"/>
    </w:rPr>
  </w:style>
  <w:style w:type="paragraph" w:customStyle="1" w:styleId="315">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16">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7">
    <w:name w:val="Char Char Char Char Char Char"/>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318">
    <w:name w:val="xl87"/>
    <w:basedOn w:val="1"/>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19">
    <w:name w:val="正文样式"/>
    <w:basedOn w:val="1"/>
    <w:qFormat/>
    <w:uiPriority w:val="0"/>
    <w:pPr>
      <w:spacing w:line="440" w:lineRule="exact"/>
      <w:ind w:firstLine="200" w:firstLineChars="200"/>
    </w:pPr>
    <w:rPr>
      <w:rFonts w:ascii="仿宋_GB2312" w:eastAsia="仿宋_GB2312"/>
      <w:sz w:val="28"/>
    </w:rPr>
  </w:style>
  <w:style w:type="paragraph" w:customStyle="1" w:styleId="320">
    <w:name w:val="Style1"/>
    <w:basedOn w:val="74"/>
    <w:qFormat/>
    <w:uiPriority w:val="0"/>
    <w:pPr>
      <w:tabs>
        <w:tab w:val="right" w:leader="dot" w:pos="9360"/>
      </w:tabs>
      <w:overflowPunct w:val="0"/>
      <w:autoSpaceDE w:val="0"/>
      <w:autoSpaceDN w:val="0"/>
      <w:adjustRightInd w:val="0"/>
      <w:spacing w:after="0" w:line="240" w:lineRule="auto"/>
      <w:ind w:left="893" w:right="720" w:hanging="648"/>
    </w:pPr>
    <w:rPr>
      <w:rFonts w:ascii="Times New Roman" w:hAnsi="Times New Roman" w:eastAsia="等线"/>
      <w:sz w:val="24"/>
      <w:szCs w:val="20"/>
      <w:lang w:eastAsia="en-US"/>
    </w:rPr>
  </w:style>
  <w:style w:type="paragraph" w:customStyle="1" w:styleId="321">
    <w:name w:val="图"/>
    <w:basedOn w:val="1"/>
    <w:qFormat/>
    <w:uiPriority w:val="0"/>
    <w:pPr>
      <w:keepNext/>
      <w:autoSpaceDN w:val="0"/>
      <w:adjustRightInd w:val="0"/>
      <w:snapToGrid w:val="0"/>
      <w:spacing w:before="60" w:after="60" w:line="300" w:lineRule="auto"/>
      <w:jc w:val="center"/>
    </w:pPr>
    <w:rPr>
      <w:spacing w:val="20"/>
      <w:kern w:val="0"/>
      <w:sz w:val="24"/>
      <w:szCs w:val="20"/>
    </w:rPr>
  </w:style>
  <w:style w:type="paragraph" w:customStyle="1" w:styleId="322">
    <w:name w:val="xl105"/>
    <w:basedOn w:val="1"/>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23">
    <w:name w:val="xl84"/>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324">
    <w:name w:val="xl64"/>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325">
    <w:name w:val=".5/.5s"/>
    <w:basedOn w:val="1"/>
    <w:qFormat/>
    <w:uiPriority w:val="0"/>
    <w:pPr>
      <w:widowControl/>
      <w:overflowPunct w:val="0"/>
      <w:autoSpaceDE w:val="0"/>
      <w:autoSpaceDN w:val="0"/>
      <w:adjustRightInd w:val="0"/>
      <w:spacing w:after="240"/>
      <w:ind w:left="720"/>
    </w:pPr>
    <w:rPr>
      <w:rFonts w:eastAsia="等线"/>
      <w:kern w:val="0"/>
      <w:sz w:val="24"/>
      <w:szCs w:val="20"/>
      <w:lang w:eastAsia="en-US"/>
    </w:rPr>
  </w:style>
  <w:style w:type="paragraph" w:customStyle="1" w:styleId="326">
    <w:name w:val="Quote1"/>
    <w:basedOn w:val="1"/>
    <w:next w:val="225"/>
    <w:qFormat/>
    <w:uiPriority w:val="0"/>
    <w:pPr>
      <w:widowControl/>
      <w:overflowPunct w:val="0"/>
      <w:autoSpaceDE w:val="0"/>
      <w:autoSpaceDN w:val="0"/>
      <w:adjustRightInd w:val="0"/>
      <w:spacing w:after="240"/>
      <w:ind w:left="1440" w:right="1440"/>
    </w:pPr>
    <w:rPr>
      <w:rFonts w:eastAsia="等线"/>
      <w:kern w:val="0"/>
      <w:sz w:val="24"/>
      <w:szCs w:val="20"/>
      <w:lang w:eastAsia="en-US"/>
    </w:rPr>
  </w:style>
  <w:style w:type="paragraph" w:customStyle="1" w:styleId="327">
    <w:name w:val="xl92"/>
    <w:basedOn w:val="1"/>
    <w:qFormat/>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328">
    <w:name w:val="SJB Level 2"/>
    <w:basedOn w:val="1"/>
    <w:qFormat/>
    <w:uiPriority w:val="0"/>
    <w:pPr>
      <w:widowControl/>
      <w:numPr>
        <w:ilvl w:val="1"/>
        <w:numId w:val="13"/>
      </w:numPr>
      <w:autoSpaceDN w:val="0"/>
      <w:spacing w:before="142" w:line="280" w:lineRule="atLeast"/>
      <w:outlineLvl w:val="1"/>
    </w:pPr>
    <w:rPr>
      <w:rFonts w:ascii="Arial" w:hAnsi="Arial" w:cs="Arial"/>
      <w:color w:val="000000"/>
      <w:kern w:val="0"/>
      <w:sz w:val="20"/>
      <w:szCs w:val="20"/>
      <w:lang w:val="en-GB" w:eastAsia="en-US"/>
    </w:rPr>
  </w:style>
  <w:style w:type="paragraph" w:customStyle="1" w:styleId="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0">
    <w:name w:val="number"/>
    <w:basedOn w:val="1"/>
    <w:qFormat/>
    <w:uiPriority w:val="0"/>
    <w:pPr>
      <w:widowControl/>
      <w:autoSpaceDN w:val="0"/>
      <w:spacing w:after="120"/>
    </w:pPr>
    <w:rPr>
      <w:rFonts w:eastAsia="等线"/>
      <w:kern w:val="0"/>
      <w:sz w:val="24"/>
      <w:lang w:eastAsia="en-US"/>
    </w:rPr>
  </w:style>
  <w:style w:type="paragraph" w:customStyle="1" w:styleId="331">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3">
    <w:name w:val="xl79"/>
    <w:basedOn w:val="1"/>
    <w:qFormat/>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34">
    <w:name w:val="TOP"/>
    <w:basedOn w:val="1"/>
    <w:next w:val="237"/>
    <w:qFormat/>
    <w:uiPriority w:val="0"/>
    <w:pPr>
      <w:widowControl/>
      <w:overflowPunct w:val="0"/>
      <w:autoSpaceDE w:val="0"/>
      <w:autoSpaceDN w:val="0"/>
      <w:adjustRightInd w:val="0"/>
      <w:spacing w:after="360"/>
      <w:jc w:val="center"/>
    </w:pPr>
    <w:rPr>
      <w:rFonts w:eastAsia="等线"/>
      <w:caps/>
      <w:kern w:val="0"/>
      <w:sz w:val="24"/>
      <w:szCs w:val="20"/>
      <w:lang w:eastAsia="en-US"/>
    </w:rPr>
  </w:style>
  <w:style w:type="paragraph" w:customStyle="1" w:styleId="335">
    <w:name w:val="Tbl Heading"/>
    <w:basedOn w:val="336"/>
    <w:qFormat/>
    <w:uiPriority w:val="0"/>
    <w:pPr>
      <w:keepNext/>
      <w:spacing w:line="240" w:lineRule="exact"/>
      <w:jc w:val="center"/>
    </w:pPr>
    <w:rPr>
      <w:rFonts w:eastAsia="等线"/>
      <w:b/>
      <w:color w:val="FFFFFF"/>
    </w:rPr>
  </w:style>
  <w:style w:type="paragraph" w:customStyle="1" w:styleId="336">
    <w:name w:val="Tbl"/>
    <w:basedOn w:val="1"/>
    <w:qFormat/>
    <w:uiPriority w:val="0"/>
    <w:pPr>
      <w:keepLines/>
      <w:widowControl/>
      <w:autoSpaceDN w:val="0"/>
      <w:spacing w:before="40" w:after="40" w:line="230" w:lineRule="exact"/>
      <w:ind w:right="-14"/>
    </w:pPr>
    <w:rPr>
      <w:rFonts w:ascii="Arial Narrow" w:hAnsi="Arial Narrow" w:eastAsia="等线"/>
      <w:kern w:val="0"/>
      <w:sz w:val="19"/>
      <w:szCs w:val="20"/>
      <w:lang w:eastAsia="en-US"/>
    </w:rPr>
  </w:style>
  <w:style w:type="paragraph" w:customStyle="1" w:styleId="3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39">
    <w:name w:val="xl9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40">
    <w:name w:val="MiniBullet"/>
    <w:basedOn w:val="1"/>
    <w:qFormat/>
    <w:uiPriority w:val="0"/>
    <w:pPr>
      <w:numPr>
        <w:ilvl w:val="0"/>
        <w:numId w:val="18"/>
      </w:numPr>
      <w:autoSpaceDN w:val="0"/>
      <w:spacing w:after="40"/>
      <w:ind w:left="187" w:hanging="173"/>
    </w:pPr>
    <w:rPr>
      <w:rFonts w:eastAsia="等线"/>
      <w:kern w:val="0"/>
      <w:sz w:val="18"/>
      <w:szCs w:val="22"/>
      <w:lang w:eastAsia="en-US"/>
    </w:rPr>
  </w:style>
  <w:style w:type="paragraph" w:customStyle="1" w:styleId="341">
    <w:name w:val="表1"/>
    <w:basedOn w:val="1"/>
    <w:qFormat/>
    <w:uiPriority w:val="0"/>
    <w:pPr>
      <w:autoSpaceDN w:val="0"/>
      <w:adjustRightInd w:val="0"/>
      <w:spacing w:line="360" w:lineRule="auto"/>
    </w:pPr>
    <w:rPr>
      <w:rFonts w:ascii="仿宋_GB2312" w:hAnsi="宋体" w:eastAsia="仿宋_GB2312"/>
      <w:b/>
      <w:sz w:val="24"/>
      <w:szCs w:val="20"/>
    </w:rPr>
  </w:style>
  <w:style w:type="paragraph" w:customStyle="1" w:styleId="342">
    <w:name w:val="Orange Block"/>
    <w:basedOn w:val="34"/>
    <w:qFormat/>
    <w:uiPriority w:val="0"/>
    <w:pPr>
      <w:widowControl/>
      <w:numPr>
        <w:ilvl w:val="0"/>
        <w:numId w:val="19"/>
      </w:numPr>
      <w:tabs>
        <w:tab w:val="left" w:pos="360"/>
        <w:tab w:val="clear" w:pos="720"/>
      </w:tabs>
      <w:autoSpaceDN w:val="0"/>
      <w:spacing w:line="264" w:lineRule="auto"/>
      <w:ind w:left="0" w:firstLine="0"/>
      <w:jc w:val="left"/>
    </w:pPr>
    <w:rPr>
      <w:rFonts w:ascii="Arial" w:hAnsi="Arial" w:eastAsia="等线" w:cs="Arial"/>
      <w:kern w:val="0"/>
      <w:sz w:val="20"/>
      <w:szCs w:val="18"/>
      <w:lang w:eastAsia="en-US"/>
    </w:rPr>
  </w:style>
  <w:style w:type="paragraph" w:customStyle="1" w:styleId="343">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4">
    <w:name w:val="p-para"/>
    <w:basedOn w:val="1"/>
    <w:qFormat/>
    <w:uiPriority w:val="0"/>
    <w:pPr>
      <w:widowControl/>
      <w:overflowPunct w:val="0"/>
      <w:autoSpaceDE w:val="0"/>
      <w:autoSpaceDN w:val="0"/>
      <w:adjustRightInd w:val="0"/>
      <w:spacing w:before="100" w:after="100"/>
    </w:pPr>
    <w:rPr>
      <w:rFonts w:eastAsia="等线"/>
      <w:kern w:val="0"/>
      <w:sz w:val="24"/>
      <w:szCs w:val="20"/>
      <w:lang w:eastAsia="en-US"/>
    </w:rPr>
  </w:style>
  <w:style w:type="paragraph" w:customStyle="1" w:styleId="345">
    <w:name w:val="zExhibitName"/>
    <w:basedOn w:val="1"/>
    <w:next w:val="272"/>
    <w:qFormat/>
    <w:uiPriority w:val="0"/>
    <w:pPr>
      <w:keepNext/>
      <w:keepLines/>
      <w:widowControl/>
      <w:autoSpaceDN w:val="0"/>
      <w:spacing w:after="240"/>
      <w:jc w:val="center"/>
    </w:pPr>
    <w:rPr>
      <w:rFonts w:eastAsia="等线"/>
      <w:b/>
      <w:kern w:val="0"/>
      <w:sz w:val="24"/>
      <w:szCs w:val="20"/>
      <w:u w:val="single"/>
      <w:lang w:eastAsia="en-US"/>
    </w:rPr>
  </w:style>
  <w:style w:type="paragraph" w:customStyle="1" w:styleId="346">
    <w:name w:val="列出段落2"/>
    <w:basedOn w:val="1"/>
    <w:qFormat/>
    <w:uiPriority w:val="0"/>
    <w:pPr>
      <w:ind w:firstLine="420" w:firstLineChars="200"/>
    </w:pPr>
    <w:rPr>
      <w:rFonts w:ascii="Calibri" w:hAnsi="Calibri"/>
      <w:szCs w:val="22"/>
    </w:rPr>
  </w:style>
  <w:style w:type="paragraph" w:customStyle="1" w:styleId="3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348">
    <w:name w:val="Table Grid1"/>
    <w:basedOn w:val="88"/>
    <w:qFormat/>
    <w:uiPriority w:val="0"/>
    <w:pPr>
      <w:overflowPunct w:val="0"/>
      <w:autoSpaceDE w:val="0"/>
      <w:autoSpaceDN w:val="0"/>
      <w:adjustRightInd w:val="0"/>
      <w:spacing w:before="100" w:beforeAutospacing="1" w:after="100" w:afterAutospacing="1"/>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
    <w:basedOn w:val="8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Table Grid2"/>
    <w:basedOn w:val="88"/>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2"/>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2">
    <w:name w:val="无间隔1"/>
    <w:qFormat/>
    <w:uiPriority w:val="0"/>
    <w:rPr>
      <w:rFonts w:ascii="Times New Roman" w:hAnsi="Times New Roman" w:eastAsia="宋体" w:cs="Times New Roman"/>
      <w:sz w:val="22"/>
      <w:szCs w:val="22"/>
      <w:lang w:val="en-US" w:eastAsia="en-US" w:bidi="en-US"/>
    </w:rPr>
  </w:style>
  <w:style w:type="paragraph" w:customStyle="1" w:styleId="353">
    <w:name w:val="_Style 352"/>
    <w:unhideWhenUsed/>
    <w:qFormat/>
    <w:uiPriority w:val="99"/>
    <w:rPr>
      <w:rFonts w:ascii="Times New Roman" w:hAnsi="Times New Roman" w:eastAsia="宋体" w:cs="Times New Roman"/>
      <w:kern w:val="2"/>
      <w:sz w:val="21"/>
      <w:szCs w:val="24"/>
      <w:lang w:val="en-US" w:eastAsia="zh-CN" w:bidi="ar-SA"/>
    </w:rPr>
  </w:style>
  <w:style w:type="paragraph" w:customStyle="1" w:styleId="354">
    <w:name w:val="List Paragraph1"/>
    <w:basedOn w:val="1"/>
    <w:qFormat/>
    <w:uiPriority w:val="99"/>
    <w:pPr>
      <w:ind w:firstLine="420" w:firstLineChars="200"/>
    </w:pPr>
  </w:style>
  <w:style w:type="paragraph" w:customStyle="1" w:styleId="355">
    <w:name w:val="_Style 7"/>
    <w:basedOn w:val="1"/>
    <w:next w:val="213"/>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56">
    <w:name w:val="NormalCharacter"/>
    <w:qFormat/>
    <w:uiPriority w:val="0"/>
  </w:style>
  <w:style w:type="paragraph" w:customStyle="1" w:styleId="357">
    <w:name w:val="样式 标题 2 + Times New Roman 四号 非加粗 段前: 5 磅 段后: 0 磅 行距: 固定值 20..."/>
    <w:basedOn w:val="4"/>
    <w:qFormat/>
    <w:uiPriority w:val="0"/>
    <w:pPr>
      <w:adjustRightInd/>
      <w:snapToGrid/>
      <w:spacing w:before="100" w:beforeLines="0" w:after="0" w:afterLines="0" w:line="400" w:lineRule="exact"/>
      <w:jc w:val="both"/>
    </w:pPr>
    <w:rPr>
      <w:rFonts w:ascii="Times New Roman" w:hAnsi="Times New Roman" w:eastAsia="黑体" w:cs="宋体"/>
      <w:b w:val="0"/>
      <w:bCs w:val="0"/>
      <w:sz w:val="28"/>
      <w:szCs w:val="20"/>
    </w:rPr>
  </w:style>
  <w:style w:type="paragraph" w:customStyle="1" w:styleId="358">
    <w:name w:val="正文11"/>
    <w:next w:val="359"/>
    <w:qFormat/>
    <w:uiPriority w:val="0"/>
    <w:pPr>
      <w:widowControl w:val="0"/>
      <w:shd w:val="clear" w:color="auto" w:fill="FFFFFF"/>
      <w:jc w:val="both"/>
    </w:pPr>
    <w:rPr>
      <w:rFonts w:ascii="宋体" w:hAnsi="Times New Roman" w:eastAsia="宋体" w:cs="Times New Roman"/>
      <w:sz w:val="34"/>
      <w:szCs w:val="22"/>
      <w:lang w:val="en-US" w:eastAsia="zh-CN" w:bidi="ar-SA"/>
    </w:rPr>
  </w:style>
  <w:style w:type="paragraph" w:customStyle="1" w:styleId="359">
    <w:name w:val="正文文本1"/>
    <w:basedOn w:val="358"/>
    <w:next w:val="358"/>
    <w:qFormat/>
    <w:uiPriority w:val="0"/>
    <w:pPr>
      <w:tabs>
        <w:tab w:val="left" w:pos="720"/>
      </w:tabs>
      <w:spacing w:line="360" w:lineRule="auto"/>
    </w:pPr>
    <w:rPr>
      <w:sz w:val="28"/>
      <w:szCs w:val="20"/>
    </w:rPr>
  </w:style>
  <w:style w:type="paragraph" w:customStyle="1" w:styleId="360">
    <w:name w:val="正文+缩进"/>
    <w:basedOn w:val="358"/>
    <w:qFormat/>
    <w:uiPriority w:val="0"/>
    <w:pPr>
      <w:ind w:firstLine="200"/>
    </w:pPr>
  </w:style>
  <w:style w:type="paragraph" w:customStyle="1" w:styleId="361">
    <w:name w:val="Table Text"/>
    <w:basedOn w:val="1"/>
    <w:semiHidden/>
    <w:qFormat/>
    <w:uiPriority w:val="0"/>
    <w:rPr>
      <w:rFonts w:ascii="Arial" w:hAnsi="Arial" w:eastAsia="Arial" w:cs="Arial"/>
      <w:sz w:val="21"/>
      <w:szCs w:val="21"/>
      <w:lang w:val="en-US" w:eastAsia="en-US" w:bidi="ar-SA"/>
    </w:rPr>
  </w:style>
  <w:style w:type="table" w:customStyle="1" w:styleId="362">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14742</Words>
  <Characters>15080</Characters>
  <Lines>458</Lines>
  <Paragraphs>507</Paragraphs>
  <TotalTime>87</TotalTime>
  <ScaleCrop>false</ScaleCrop>
  <LinksUpToDate>false</LinksUpToDate>
  <CharactersWithSpaces>15671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2023-02-17T07:20:00Z</dcterms:created>
  <dc:creator>永诚招标代理</dc:creator>
  <cp:lastModifiedBy>招标代理</cp:lastModifiedBy>
  <cp:lastPrinted>2026-03-18T05:56:00Z</cp:lastPrinted>
  <dcterms:modified xsi:type="dcterms:W3CDTF">2026-04-01T08:18:23Z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4DAF4BD1F43C4228AC823FA0D6E8F603_13</vt:lpwstr>
  </property>
  <property fmtid="{D5CDD505-2E9C-101B-9397-08002B2CF9AE}" pid="4" name="KSOTemplateDocerSaveRecord">
    <vt:lpwstr>eyJoZGlkIjoiNTU0ZmIwYTQ3NzlmZGUxZmU3Zjk0M2IyZTNmM2IxNjAiLCJ1c2VySWQiOiIzNDUwNTM3OTUifQ==</vt:lpwstr>
  </property>
</Properties>
</file>